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B5BE3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80BDF">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A715E6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76F50">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76F50">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84A0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23D4418"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276F50">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2F0EB6A" w14:textId="77777777" w:rsidR="00C67760" w:rsidRPr="00C67760" w:rsidRDefault="00C67760" w:rsidP="00C67760">
      <w:pPr>
        <w:spacing w:after="0" w:line="240" w:lineRule="auto"/>
        <w:ind w:firstLine="720"/>
        <w:jc w:val="both"/>
        <w:rPr>
          <w:rFonts w:ascii="Arial" w:hAnsi="Arial" w:cs="Arial"/>
          <w:sz w:val="24"/>
          <w:szCs w:val="24"/>
        </w:rPr>
      </w:pPr>
      <w:bookmarkStart w:id="0" w:name="_Hlk156225665"/>
      <w:r w:rsidRPr="00C67760">
        <w:rPr>
          <w:rFonts w:ascii="Arial" w:hAnsi="Arial" w:cs="Arial"/>
          <w:b/>
          <w:bCs/>
          <w:sz w:val="24"/>
          <w:szCs w:val="24"/>
        </w:rPr>
        <w:t>“Liepkalni”-3, Grobiņas pagasts</w:t>
      </w:r>
      <w:bookmarkEnd w:id="0"/>
      <w:r w:rsidRPr="00C67760">
        <w:rPr>
          <w:rFonts w:ascii="Arial" w:hAnsi="Arial" w:cs="Arial"/>
          <w:b/>
          <w:bCs/>
          <w:sz w:val="24"/>
          <w:szCs w:val="24"/>
        </w:rPr>
        <w:t xml:space="preserve">, </w:t>
      </w:r>
      <w:proofErr w:type="spellStart"/>
      <w:r w:rsidRPr="00C67760">
        <w:rPr>
          <w:rFonts w:ascii="Arial" w:hAnsi="Arial" w:cs="Arial"/>
          <w:sz w:val="24"/>
          <w:szCs w:val="24"/>
        </w:rPr>
        <w:t>Dienvidkurzemes</w:t>
      </w:r>
      <w:proofErr w:type="spellEnd"/>
      <w:r w:rsidRPr="00C67760">
        <w:rPr>
          <w:rFonts w:ascii="Arial" w:hAnsi="Arial" w:cs="Arial"/>
          <w:sz w:val="24"/>
          <w:szCs w:val="24"/>
        </w:rPr>
        <w:t xml:space="preserve"> novads, kadastra Nr.6460 900 0390, reģistrēts Kurzemes rajona tiesas Grobiņas pagasta zemesgrāmatas nodalījumā Nr.528 3.</w:t>
      </w:r>
    </w:p>
    <w:p w14:paraId="4F8421CA" w14:textId="77777777" w:rsidR="00C67760" w:rsidRPr="00C67760" w:rsidRDefault="00C67760" w:rsidP="00C67760">
      <w:pPr>
        <w:spacing w:after="0" w:line="240" w:lineRule="auto"/>
        <w:ind w:firstLine="720"/>
        <w:jc w:val="both"/>
        <w:rPr>
          <w:rFonts w:ascii="Arial" w:hAnsi="Arial" w:cs="Arial"/>
          <w:sz w:val="24"/>
          <w:szCs w:val="24"/>
        </w:rPr>
      </w:pPr>
      <w:r w:rsidRPr="00C67760">
        <w:rPr>
          <w:rFonts w:ascii="Arial" w:hAnsi="Arial" w:cs="Arial"/>
          <w:sz w:val="24"/>
          <w:szCs w:val="24"/>
        </w:rPr>
        <w:t>Īpašums sastāv no dzīvokļa 70,8 m² platībā, pie dzīvokļa īpašuma piederošām 7000/60460 kopīpašuma domājamām daļām no būves ar kadastra apzīmējumu 6460 002 0057 001 un zemes vienības ar kadastra apzīmējumu 6460 002 0057.</w:t>
      </w:r>
    </w:p>
    <w:p w14:paraId="0AD45E47" w14:textId="1B112BE2" w:rsidR="0026194E" w:rsidRPr="00F84A0D" w:rsidRDefault="00C67760" w:rsidP="00C67760">
      <w:pPr>
        <w:spacing w:after="0" w:line="240" w:lineRule="auto"/>
        <w:ind w:firstLine="720"/>
        <w:jc w:val="both"/>
        <w:rPr>
          <w:rFonts w:ascii="Arial" w:hAnsi="Arial" w:cs="Arial"/>
          <w:sz w:val="24"/>
          <w:szCs w:val="24"/>
        </w:rPr>
      </w:pPr>
      <w:r w:rsidRPr="00C67760">
        <w:rPr>
          <w:rFonts w:ascii="Arial" w:hAnsi="Arial" w:cs="Arial"/>
          <w:sz w:val="24"/>
          <w:szCs w:val="24"/>
        </w:rPr>
        <w:t>Dzīvoklis nav izīrēts</w:t>
      </w:r>
      <w:r w:rsidR="00621C1D" w:rsidRPr="00C67760">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56A74AA" w14:textId="77777777" w:rsidR="00C67760" w:rsidRPr="00C67760" w:rsidRDefault="00C67760" w:rsidP="00C6776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67760">
        <w:rPr>
          <w:rFonts w:ascii="Arial" w:eastAsia="Times New Roman" w:hAnsi="Arial" w:cs="Arial"/>
          <w:noProof/>
          <w:sz w:val="24"/>
          <w:szCs w:val="24"/>
          <w:lang w:eastAsia="ru-RU"/>
        </w:rPr>
        <w:t xml:space="preserve">Objekta sākuma (nosacītā) cena – </w:t>
      </w:r>
      <w:r w:rsidRPr="00C67760">
        <w:rPr>
          <w:rFonts w:ascii="Arial" w:eastAsia="Times New Roman" w:hAnsi="Arial" w:cs="Arial"/>
          <w:b/>
          <w:bCs/>
          <w:noProof/>
          <w:sz w:val="24"/>
          <w:szCs w:val="24"/>
          <w:lang w:eastAsia="ru-RU"/>
        </w:rPr>
        <w:t>1500 EUR</w:t>
      </w:r>
      <w:r w:rsidRPr="00C67760">
        <w:rPr>
          <w:rFonts w:ascii="Arial" w:eastAsia="Times New Roman" w:hAnsi="Arial" w:cs="Arial"/>
          <w:noProof/>
          <w:sz w:val="24"/>
          <w:szCs w:val="24"/>
          <w:lang w:eastAsia="ru-RU"/>
        </w:rPr>
        <w:t xml:space="preserve"> (viens tūkstotis pieci simti </w:t>
      </w:r>
      <w:r w:rsidRPr="0059756B">
        <w:rPr>
          <w:rFonts w:ascii="Arial" w:eastAsia="Times New Roman" w:hAnsi="Arial" w:cs="Arial"/>
          <w:i/>
          <w:iCs/>
          <w:noProof/>
          <w:sz w:val="24"/>
          <w:szCs w:val="24"/>
          <w:lang w:eastAsia="ru-RU"/>
        </w:rPr>
        <w:t>euro</w:t>
      </w:r>
      <w:r w:rsidRPr="00C67760">
        <w:rPr>
          <w:rFonts w:ascii="Arial" w:eastAsia="Times New Roman" w:hAnsi="Arial" w:cs="Arial"/>
          <w:noProof/>
          <w:sz w:val="24"/>
          <w:szCs w:val="24"/>
          <w:lang w:eastAsia="ru-RU"/>
        </w:rPr>
        <w:t>)</w:t>
      </w:r>
    </w:p>
    <w:p w14:paraId="200A88E8" w14:textId="6D43C6DF" w:rsidR="00C67760" w:rsidRPr="00276F50" w:rsidRDefault="00C67760" w:rsidP="00C6776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76F50">
        <w:rPr>
          <w:rFonts w:ascii="Arial" w:eastAsia="Times New Roman" w:hAnsi="Arial" w:cs="Arial"/>
          <w:noProof/>
          <w:sz w:val="24"/>
          <w:szCs w:val="24"/>
          <w:lang w:eastAsia="ru-RU"/>
        </w:rPr>
        <w:t xml:space="preserve">Izsoles solis -  </w:t>
      </w:r>
      <w:r w:rsidR="00276F50" w:rsidRPr="00276F50">
        <w:rPr>
          <w:rFonts w:ascii="Arial" w:eastAsia="Times New Roman" w:hAnsi="Arial" w:cs="Arial"/>
          <w:b/>
          <w:bCs/>
          <w:iCs/>
          <w:noProof/>
          <w:sz w:val="24"/>
          <w:szCs w:val="24"/>
          <w:lang w:eastAsia="ru-RU"/>
        </w:rPr>
        <w:t xml:space="preserve">100 EUR </w:t>
      </w:r>
      <w:r w:rsidR="00276F50" w:rsidRPr="00276F50">
        <w:rPr>
          <w:rFonts w:ascii="Arial" w:eastAsia="Times New Roman" w:hAnsi="Arial" w:cs="Arial"/>
          <w:iCs/>
          <w:noProof/>
          <w:sz w:val="24"/>
          <w:szCs w:val="24"/>
          <w:lang w:eastAsia="ru-RU"/>
        </w:rPr>
        <w:t xml:space="preserve">(viens simts </w:t>
      </w:r>
      <w:r w:rsidR="00276F50" w:rsidRPr="00276F50">
        <w:rPr>
          <w:rFonts w:ascii="Arial" w:eastAsia="Times New Roman" w:hAnsi="Arial" w:cs="Arial"/>
          <w:i/>
          <w:iCs/>
          <w:noProof/>
          <w:sz w:val="24"/>
          <w:szCs w:val="24"/>
          <w:lang w:eastAsia="ru-RU"/>
        </w:rPr>
        <w:t>euro</w:t>
      </w:r>
      <w:r w:rsidR="00276F50" w:rsidRPr="00276F50">
        <w:rPr>
          <w:rFonts w:ascii="Arial" w:eastAsia="Times New Roman" w:hAnsi="Arial" w:cs="Arial"/>
          <w:iCs/>
          <w:noProof/>
          <w:sz w:val="24"/>
          <w:szCs w:val="24"/>
          <w:lang w:eastAsia="ru-RU"/>
        </w:rPr>
        <w:t>)</w:t>
      </w:r>
    </w:p>
    <w:p w14:paraId="28700263" w14:textId="4F32FC61" w:rsidR="00571810" w:rsidRPr="00571810" w:rsidRDefault="00C67760" w:rsidP="00C6776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67760">
        <w:rPr>
          <w:rFonts w:ascii="Arial" w:eastAsia="Times New Roman" w:hAnsi="Arial" w:cs="Arial"/>
          <w:noProof/>
          <w:sz w:val="24"/>
          <w:szCs w:val="24"/>
          <w:lang w:eastAsia="ru-RU"/>
        </w:rPr>
        <w:t xml:space="preserve">Nodrošinājuma nauda 10% apmērā no objekta sākuma (nosacītās) cenas– </w:t>
      </w:r>
      <w:r w:rsidRPr="00C67760">
        <w:rPr>
          <w:rFonts w:ascii="Arial" w:eastAsia="Times New Roman" w:hAnsi="Arial" w:cs="Arial"/>
          <w:b/>
          <w:bCs/>
          <w:noProof/>
          <w:sz w:val="24"/>
          <w:szCs w:val="24"/>
          <w:lang w:eastAsia="ru-RU"/>
        </w:rPr>
        <w:t>150 EUR</w:t>
      </w:r>
      <w:r w:rsidRPr="00C67760">
        <w:rPr>
          <w:rFonts w:ascii="Arial" w:eastAsia="Times New Roman" w:hAnsi="Arial" w:cs="Arial"/>
          <w:noProof/>
          <w:sz w:val="24"/>
          <w:szCs w:val="24"/>
          <w:lang w:eastAsia="ru-RU"/>
        </w:rPr>
        <w:t xml:space="preserve"> (viens simts piecdesmit </w:t>
      </w:r>
      <w:r w:rsidRPr="0059756B">
        <w:rPr>
          <w:rFonts w:ascii="Arial" w:eastAsia="Times New Roman" w:hAnsi="Arial" w:cs="Arial"/>
          <w:i/>
          <w:iCs/>
          <w:noProof/>
          <w:sz w:val="24"/>
          <w:szCs w:val="24"/>
          <w:lang w:eastAsia="ru-RU"/>
        </w:rPr>
        <w:t>euro</w:t>
      </w:r>
      <w:r w:rsidRPr="00C67760">
        <w:rPr>
          <w:rFonts w:ascii="Arial" w:eastAsia="Times New Roman" w:hAnsi="Arial" w:cs="Arial"/>
          <w:noProof/>
          <w:sz w:val="24"/>
          <w:szCs w:val="24"/>
          <w:lang w:eastAsia="ru-RU"/>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85804F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6225744"/>
      <w:r w:rsidR="00C67760" w:rsidRPr="00C67760">
        <w:rPr>
          <w:rFonts w:ascii="Arial" w:eastAsia="Times New Roman" w:hAnsi="Arial" w:cs="Arial"/>
          <w:bCs/>
          <w:noProof/>
          <w:sz w:val="24"/>
          <w:szCs w:val="24"/>
          <w:lang w:eastAsia="ru-RU"/>
        </w:rPr>
        <w:t>“Liepkalni”-3, Grobiņas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77B198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276F50" w:rsidRPr="00276F50">
        <w:rPr>
          <w:rFonts w:ascii="Arial" w:eastAsia="Times New Roman" w:hAnsi="Arial" w:cs="Arial"/>
          <w:noProof/>
          <w:sz w:val="24"/>
          <w:szCs w:val="24"/>
          <w:lang w:eastAsia="ru-RU"/>
        </w:rPr>
        <w:t>29</w:t>
      </w:r>
      <w:r w:rsidR="00933938" w:rsidRPr="00276F50">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B8EDEB0"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67760" w:rsidRPr="00C67760">
        <w:rPr>
          <w:rFonts w:ascii="Arial" w:hAnsi="Arial" w:cs="Arial"/>
          <w:sz w:val="24"/>
          <w:szCs w:val="24"/>
        </w:rPr>
        <w:t>29486507</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67760">
        <w:rPr>
          <w:rFonts w:ascii="Arial" w:eastAsia="Times New Roman" w:hAnsi="Arial" w:cs="Arial"/>
          <w:noProof/>
          <w:sz w:val="24"/>
          <w:szCs w:val="24"/>
          <w:lang w:eastAsia="ru-RU"/>
        </w:rPr>
        <w:t>I.Ratniece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771887CF" w14:textId="77777777" w:rsidR="00C67760" w:rsidRDefault="00C67760" w:rsidP="00B954EC">
      <w:pPr>
        <w:spacing w:after="0" w:line="240" w:lineRule="auto"/>
        <w:jc w:val="right"/>
        <w:rPr>
          <w:rFonts w:ascii="Arial" w:eastAsia="Calibri" w:hAnsi="Arial" w:cs="Arial"/>
          <w:sz w:val="24"/>
          <w:szCs w:val="24"/>
        </w:rPr>
      </w:pPr>
    </w:p>
    <w:p w14:paraId="5B5795FC" w14:textId="77777777" w:rsidR="00C67760" w:rsidRDefault="00C67760" w:rsidP="00B954EC">
      <w:pPr>
        <w:spacing w:after="0" w:line="240" w:lineRule="auto"/>
        <w:jc w:val="right"/>
        <w:rPr>
          <w:rFonts w:ascii="Arial" w:eastAsia="Calibri" w:hAnsi="Arial" w:cs="Arial"/>
          <w:sz w:val="24"/>
          <w:szCs w:val="24"/>
        </w:rPr>
      </w:pPr>
    </w:p>
    <w:p w14:paraId="0FAAF570" w14:textId="77777777" w:rsidR="00C67760" w:rsidRDefault="00C67760" w:rsidP="00B954EC">
      <w:pPr>
        <w:spacing w:after="0" w:line="240" w:lineRule="auto"/>
        <w:jc w:val="right"/>
        <w:rPr>
          <w:rFonts w:ascii="Arial" w:eastAsia="Calibri" w:hAnsi="Arial" w:cs="Arial"/>
          <w:sz w:val="24"/>
          <w:szCs w:val="24"/>
        </w:rPr>
      </w:pPr>
    </w:p>
    <w:p w14:paraId="276BA1FB" w14:textId="77777777" w:rsidR="00C67760" w:rsidRDefault="00C67760"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B1119C6" w:rsidR="004F04D0" w:rsidRPr="004F04D0" w:rsidRDefault="00C67760" w:rsidP="004F04D0">
      <w:pPr>
        <w:spacing w:after="0" w:line="240" w:lineRule="auto"/>
        <w:jc w:val="right"/>
        <w:rPr>
          <w:rFonts w:ascii="Arial" w:eastAsia="Times New Roman" w:hAnsi="Arial" w:cs="Arial"/>
          <w:sz w:val="24"/>
          <w:szCs w:val="24"/>
          <w:lang w:eastAsia="lv-LV"/>
        </w:rPr>
      </w:pPr>
      <w:r w:rsidRPr="00C67760">
        <w:rPr>
          <w:rFonts w:ascii="Arial" w:eastAsia="Times New Roman" w:hAnsi="Arial" w:cs="Arial"/>
          <w:bCs/>
          <w:noProof/>
          <w:sz w:val="24"/>
          <w:szCs w:val="24"/>
          <w:lang w:eastAsia="ru-RU"/>
        </w:rPr>
        <w:t>“Liepkalni”-3,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6704" w14:textId="77777777" w:rsidR="008C087B" w:rsidRDefault="008C087B" w:rsidP="00125179">
      <w:pPr>
        <w:spacing w:after="0" w:line="240" w:lineRule="auto"/>
      </w:pPr>
      <w:r>
        <w:separator/>
      </w:r>
    </w:p>
  </w:endnote>
  <w:endnote w:type="continuationSeparator" w:id="0">
    <w:p w14:paraId="1890E7C9" w14:textId="77777777" w:rsidR="008C087B" w:rsidRDefault="008C087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DC50" w14:textId="77777777" w:rsidR="008C087B" w:rsidRDefault="008C087B" w:rsidP="00125179">
      <w:pPr>
        <w:spacing w:after="0" w:line="240" w:lineRule="auto"/>
      </w:pPr>
      <w:r>
        <w:separator/>
      </w:r>
    </w:p>
  </w:footnote>
  <w:footnote w:type="continuationSeparator" w:id="0">
    <w:p w14:paraId="0D26CBCC" w14:textId="77777777" w:rsidR="008C087B" w:rsidRDefault="008C087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76F50"/>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087B"/>
    <w:rsid w:val="008C18F5"/>
    <w:rsid w:val="008C68CC"/>
    <w:rsid w:val="008F26CB"/>
    <w:rsid w:val="0090074F"/>
    <w:rsid w:val="009036E1"/>
    <w:rsid w:val="00933938"/>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D0262B"/>
    <w:rsid w:val="00D138B7"/>
    <w:rsid w:val="00D170A2"/>
    <w:rsid w:val="00D17868"/>
    <w:rsid w:val="00D24DC9"/>
    <w:rsid w:val="00D45347"/>
    <w:rsid w:val="00D47C50"/>
    <w:rsid w:val="00D63799"/>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9200</Words>
  <Characters>5244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2024-01-15T13:36:00Z</dcterms:created>
  <dcterms:modified xsi:type="dcterms:W3CDTF">2024-01-24T06:54:00Z</dcterms:modified>
</cp:coreProperties>
</file>