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2CC683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36B04">
        <w:rPr>
          <w:rFonts w:ascii="Arial" w:eastAsia="Times New Roman" w:hAnsi="Arial" w:cs="Arial"/>
          <w:noProof/>
          <w:color w:val="000000"/>
          <w:sz w:val="24"/>
          <w:szCs w:val="24"/>
          <w:lang w:eastAsia="ru-RU"/>
        </w:rPr>
        <w:t>1</w:t>
      </w:r>
      <w:r w:rsidR="00D9617E">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7B861E5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A3C1A">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36B04">
        <w:rPr>
          <w:rFonts w:ascii="Arial" w:eastAsia="Times New Roman" w:hAnsi="Arial" w:cs="Arial"/>
          <w:noProof/>
          <w:color w:val="000000"/>
          <w:sz w:val="24"/>
          <w:szCs w:val="24"/>
          <w:lang w:eastAsia="ru-RU"/>
        </w:rPr>
        <w:t>1</w:t>
      </w:r>
      <w:r w:rsidR="00D9617E">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25A15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AA3C1A" w:rsidRPr="00AA3C1A">
        <w:rPr>
          <w:rFonts w:ascii="Arial" w:eastAsia="Times New Roman" w:hAnsi="Arial" w:cs="Arial"/>
          <w:bCs/>
          <w:noProof/>
          <w:color w:val="000000"/>
          <w:sz w:val="24"/>
          <w:szCs w:val="24"/>
          <w:lang w:eastAsia="ru-RU"/>
        </w:rPr>
        <w:t>3.decembrī</w:t>
      </w:r>
      <w:r w:rsidRPr="00AA3C1A">
        <w:rPr>
          <w:rFonts w:ascii="Arial" w:eastAsia="Times New Roman" w:hAnsi="Arial" w:cs="Arial"/>
          <w:bCs/>
          <w:noProof/>
          <w:color w:val="000000"/>
          <w:sz w:val="24"/>
          <w:szCs w:val="24"/>
          <w:lang w:eastAsia="ru-RU"/>
        </w:rPr>
        <w:t xml:space="preserve"> plkst. </w:t>
      </w:r>
      <w:r w:rsidR="00AA3C1A">
        <w:rPr>
          <w:rFonts w:ascii="Arial" w:eastAsia="Times New Roman" w:hAnsi="Arial" w:cs="Arial"/>
          <w:bCs/>
          <w:noProof/>
          <w:color w:val="000000"/>
          <w:sz w:val="24"/>
          <w:szCs w:val="24"/>
          <w:lang w:eastAsia="ru-RU"/>
        </w:rPr>
        <w:t>13.10</w:t>
      </w:r>
    </w:p>
    <w:p w14:paraId="5FE8F7E8" w14:textId="63CA8F4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B63C4" w:rsidRPr="007B63C4">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5251EAE" w14:textId="182F523A" w:rsidR="00DC48DC" w:rsidRPr="00D9617E" w:rsidRDefault="006870D5" w:rsidP="00DC48DC">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C48DC">
        <w:rPr>
          <w:rFonts w:ascii="Arial" w:eastAsia="Times New Roman" w:hAnsi="Arial" w:cs="Arial"/>
          <w:noProof/>
          <w:sz w:val="24"/>
          <w:szCs w:val="24"/>
          <w:lang w:eastAsia="ru-RU"/>
        </w:rPr>
        <w:t>piederoša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82401900"/>
      <w:r w:rsidR="00DC48DC" w:rsidRPr="00DC48DC">
        <w:rPr>
          <w:rFonts w:ascii="Arial" w:eastAsia="Times New Roman" w:hAnsi="Arial" w:cs="Arial"/>
          <w:b/>
          <w:bCs/>
          <w:noProof/>
          <w:sz w:val="24"/>
          <w:szCs w:val="24"/>
          <w:lang w:eastAsia="ru-RU"/>
        </w:rPr>
        <w:t>“Ķīviti”, Tadaiķu pagasts</w:t>
      </w:r>
      <w:bookmarkEnd w:id="0"/>
      <w:r w:rsidR="00DC48DC" w:rsidRPr="00DC48DC">
        <w:rPr>
          <w:rFonts w:ascii="Arial" w:eastAsia="Times New Roman" w:hAnsi="Arial" w:cs="Arial"/>
          <w:b/>
          <w:bCs/>
          <w:noProof/>
          <w:sz w:val="24"/>
          <w:szCs w:val="24"/>
          <w:lang w:eastAsia="ru-RU"/>
        </w:rPr>
        <w:t xml:space="preserve">, </w:t>
      </w:r>
      <w:r w:rsidR="00DC48DC" w:rsidRPr="00D9617E">
        <w:rPr>
          <w:rFonts w:ascii="Arial" w:eastAsia="Times New Roman" w:hAnsi="Arial" w:cs="Arial"/>
          <w:noProof/>
          <w:sz w:val="24"/>
          <w:szCs w:val="24"/>
          <w:lang w:eastAsia="ru-RU"/>
        </w:rPr>
        <w:t xml:space="preserve">Dienvidkurzemes novads, ar kadastra apzīmējumu 6488 007 0105 daļā </w:t>
      </w:r>
      <w:r w:rsidR="00DC48DC" w:rsidRPr="00D9617E">
        <w:rPr>
          <w:rFonts w:ascii="Arial" w:eastAsia="Times New Roman" w:hAnsi="Arial" w:cs="Arial"/>
          <w:b/>
          <w:bCs/>
          <w:noProof/>
          <w:sz w:val="24"/>
          <w:szCs w:val="24"/>
          <w:lang w:eastAsia="ru-RU"/>
        </w:rPr>
        <w:t>1,555 ha platībā</w:t>
      </w:r>
      <w:r w:rsidR="00DC48DC" w:rsidRPr="00D9617E">
        <w:rPr>
          <w:rFonts w:ascii="Arial" w:eastAsia="Times New Roman" w:hAnsi="Arial" w:cs="Arial"/>
          <w:noProof/>
          <w:sz w:val="24"/>
          <w:szCs w:val="24"/>
          <w:lang w:eastAsia="ru-RU"/>
        </w:rPr>
        <w:t xml:space="preserve"> lauksaimniecības vajadzībām. </w:t>
      </w:r>
    </w:p>
    <w:p w14:paraId="7C16AC89" w14:textId="77777777" w:rsidR="00DC48DC" w:rsidRPr="00D9617E" w:rsidRDefault="00DC48DC" w:rsidP="00DC48DC">
      <w:pPr>
        <w:pStyle w:val="Sarakstarindkopa"/>
        <w:numPr>
          <w:ilvl w:val="1"/>
          <w:numId w:val="8"/>
        </w:numPr>
        <w:rPr>
          <w:rFonts w:ascii="Arial" w:eastAsia="Times New Roman" w:hAnsi="Arial" w:cs="Arial"/>
          <w:noProof/>
          <w:sz w:val="24"/>
          <w:szCs w:val="24"/>
          <w:lang w:eastAsia="ru-RU"/>
        </w:rPr>
      </w:pPr>
      <w:r w:rsidRPr="00D9617E">
        <w:rPr>
          <w:rFonts w:ascii="Arial" w:eastAsia="Times New Roman" w:hAnsi="Arial" w:cs="Arial"/>
          <w:noProof/>
          <w:sz w:val="24"/>
          <w:szCs w:val="24"/>
          <w:lang w:eastAsia="ru-RU"/>
        </w:rPr>
        <w:t>Kadastra informācijas sistēmā zemes vienībai norādīta sekojoša eksplikācija: 2,37 ha lauksaimniecībā izmantojama zeme, 0,17 ha zeme zem ēkām un pagalmiem, 0,01 ha citas zemes, 0,04 ha zeme zem ūdens.</w:t>
      </w:r>
    </w:p>
    <w:p w14:paraId="49AD05B1" w14:textId="0CE5EDDF" w:rsidR="00D20ACD" w:rsidRPr="00536B04" w:rsidRDefault="00DC48DC" w:rsidP="00DC48DC">
      <w:pPr>
        <w:pStyle w:val="Sarakstarindkopa"/>
        <w:numPr>
          <w:ilvl w:val="1"/>
          <w:numId w:val="8"/>
        </w:numPr>
        <w:rPr>
          <w:rFonts w:ascii="Arial" w:eastAsia="Times New Roman" w:hAnsi="Arial" w:cs="Arial"/>
          <w:noProof/>
          <w:sz w:val="24"/>
          <w:szCs w:val="24"/>
          <w:lang w:eastAsia="ru-RU"/>
        </w:rPr>
      </w:pPr>
      <w:r w:rsidRPr="00D9617E">
        <w:rPr>
          <w:rFonts w:ascii="Arial" w:eastAsia="Times New Roman" w:hAnsi="Arial" w:cs="Arial"/>
          <w:noProof/>
          <w:sz w:val="24"/>
          <w:szCs w:val="24"/>
          <w:lang w:eastAsia="ru-RU"/>
        </w:rPr>
        <w:t xml:space="preserve">Nomas termiņš </w:t>
      </w:r>
      <w:bookmarkStart w:id="1" w:name="_Hlk182401979"/>
      <w:r w:rsidRPr="00D9617E">
        <w:rPr>
          <w:rFonts w:ascii="Arial" w:eastAsia="Times New Roman" w:hAnsi="Arial" w:cs="Arial"/>
          <w:b/>
          <w:bCs/>
          <w:noProof/>
          <w:sz w:val="24"/>
          <w:szCs w:val="24"/>
          <w:lang w:eastAsia="ru-RU"/>
        </w:rPr>
        <w:t>no 01.11.2024. līdz 30.09.2029</w:t>
      </w:r>
      <w:bookmarkEnd w:id="1"/>
      <w:r w:rsidRPr="00D9617E">
        <w:rPr>
          <w:rFonts w:ascii="Arial" w:eastAsia="Times New Roman" w:hAnsi="Arial" w:cs="Arial"/>
          <w:noProof/>
          <w:sz w:val="24"/>
          <w:szCs w:val="24"/>
          <w:lang w:eastAsia="ru-RU"/>
        </w:rPr>
        <w:t>. bez tiesībām pagarināt nomas līgumu</w:t>
      </w:r>
      <w:r w:rsidR="007B63C4" w:rsidRPr="00536B0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1962267"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9617E">
        <w:rPr>
          <w:rFonts w:ascii="Arial" w:eastAsia="Times New Roman" w:hAnsi="Arial" w:cs="Arial"/>
          <w:b/>
          <w:bCs/>
          <w:noProof/>
          <w:sz w:val="24"/>
          <w:szCs w:val="24"/>
          <w:lang w:eastAsia="ru-RU"/>
        </w:rPr>
        <w:t>136</w:t>
      </w:r>
      <w:r w:rsidR="00D9617E" w:rsidRPr="0048417E">
        <w:rPr>
          <w:rFonts w:ascii="Arial" w:eastAsia="Times New Roman" w:hAnsi="Arial" w:cs="Arial"/>
          <w:b/>
          <w:bCs/>
          <w:noProof/>
          <w:sz w:val="24"/>
          <w:szCs w:val="24"/>
          <w:lang w:eastAsia="ru-RU"/>
        </w:rPr>
        <w:t xml:space="preserve"> EUR</w:t>
      </w:r>
      <w:r w:rsidR="00D9617E" w:rsidRPr="0048417E">
        <w:rPr>
          <w:rFonts w:ascii="Arial" w:eastAsia="Times New Roman" w:hAnsi="Arial" w:cs="Arial"/>
          <w:noProof/>
          <w:sz w:val="24"/>
          <w:szCs w:val="24"/>
          <w:lang w:eastAsia="ru-RU"/>
        </w:rPr>
        <w:t xml:space="preserve"> (</w:t>
      </w:r>
      <w:r w:rsidR="00D9617E">
        <w:rPr>
          <w:rFonts w:ascii="Arial" w:eastAsia="Times New Roman" w:hAnsi="Arial" w:cs="Arial"/>
          <w:noProof/>
          <w:sz w:val="24"/>
          <w:szCs w:val="24"/>
          <w:lang w:eastAsia="ru-RU"/>
        </w:rPr>
        <w:t>viens simts trīsdesmit seši</w:t>
      </w:r>
      <w:r w:rsidR="00D9617E" w:rsidRPr="0048417E">
        <w:rPr>
          <w:rFonts w:ascii="Arial" w:eastAsia="Times New Roman" w:hAnsi="Arial" w:cs="Arial"/>
          <w:noProof/>
          <w:sz w:val="24"/>
          <w:szCs w:val="24"/>
          <w:lang w:eastAsia="ru-RU"/>
        </w:rPr>
        <w:t xml:space="preserve"> </w:t>
      </w:r>
      <w:r w:rsidR="00D9617E" w:rsidRPr="0048417E">
        <w:rPr>
          <w:rFonts w:ascii="Arial" w:eastAsia="Times New Roman" w:hAnsi="Arial" w:cs="Arial"/>
          <w:i/>
          <w:iCs/>
          <w:noProof/>
          <w:sz w:val="24"/>
          <w:szCs w:val="24"/>
          <w:lang w:eastAsia="ru-RU"/>
        </w:rPr>
        <w:t>euro</w:t>
      </w:r>
      <w:r w:rsidR="00D9617E" w:rsidRPr="0048417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4893B712"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00D9617E" w:rsidRPr="0048417E">
        <w:rPr>
          <w:rFonts w:ascii="Arial" w:eastAsia="Times New Roman" w:hAnsi="Arial" w:cs="Arial"/>
          <w:b/>
          <w:noProof/>
          <w:sz w:val="24"/>
          <w:szCs w:val="24"/>
          <w:lang w:eastAsia="ru-RU"/>
        </w:rPr>
        <w:t>10 EUR</w:t>
      </w:r>
      <w:r w:rsidR="00D9617E" w:rsidRPr="0048417E">
        <w:rPr>
          <w:rFonts w:ascii="Arial" w:eastAsia="Times New Roman" w:hAnsi="Arial" w:cs="Arial"/>
          <w:bCs/>
          <w:noProof/>
          <w:sz w:val="24"/>
          <w:szCs w:val="24"/>
          <w:lang w:eastAsia="ru-RU"/>
        </w:rPr>
        <w:t xml:space="preserve"> (desmit </w:t>
      </w:r>
      <w:r w:rsidR="00D9617E" w:rsidRPr="0048417E">
        <w:rPr>
          <w:rFonts w:ascii="Arial" w:eastAsia="Times New Roman" w:hAnsi="Arial" w:cs="Arial"/>
          <w:bCs/>
          <w:i/>
          <w:iCs/>
          <w:noProof/>
          <w:sz w:val="24"/>
          <w:szCs w:val="24"/>
          <w:lang w:eastAsia="ru-RU"/>
        </w:rPr>
        <w:t>euro</w:t>
      </w:r>
      <w:r w:rsidR="00D9617E" w:rsidRPr="0048417E">
        <w:rPr>
          <w:rFonts w:ascii="Arial" w:eastAsia="Times New Roman" w:hAnsi="Arial" w:cs="Arial"/>
          <w:bCs/>
          <w:noProof/>
          <w:sz w:val="24"/>
          <w:szCs w:val="24"/>
          <w:lang w:eastAsia="ru-RU"/>
        </w:rPr>
        <w:t>)</w:t>
      </w:r>
      <w:r w:rsidRPr="000C66DB">
        <w:rPr>
          <w:rFonts w:ascii="Arial" w:eastAsia="Times New Roman" w:hAnsi="Arial" w:cs="Arial"/>
          <w:bCs/>
          <w:noProof/>
          <w:color w:val="000000"/>
          <w:sz w:val="24"/>
          <w:szCs w:val="24"/>
          <w:lang w:eastAsia="ru-RU"/>
        </w:rPr>
        <w:t xml:space="preserve">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A6A7329"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D9617E" w:rsidRPr="00D9617E">
        <w:rPr>
          <w:rFonts w:ascii="Arial" w:eastAsia="Times New Roman" w:hAnsi="Arial" w:cs="Arial"/>
          <w:b/>
          <w:bCs/>
          <w:noProof/>
          <w:sz w:val="24"/>
          <w:szCs w:val="24"/>
          <w:lang w:eastAsia="ru-RU"/>
        </w:rPr>
        <w:t>“Ķīviti”,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2CFC33"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A3C1A">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C9D1AD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9617E" w:rsidRPr="00D9617E">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9617E">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1CB37B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D9617E" w:rsidRPr="00D9617E">
        <w:rPr>
          <w:rFonts w:ascii="Arial" w:eastAsia="Times New Roman" w:hAnsi="Arial" w:cs="Arial"/>
          <w:noProof/>
          <w:sz w:val="24"/>
          <w:szCs w:val="24"/>
          <w:lang w:eastAsia="ru-RU"/>
        </w:rPr>
        <w:t>no 01.11.2024. 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Default="008142BE" w:rsidP="00B954EC">
      <w:pPr>
        <w:spacing w:after="0" w:line="240" w:lineRule="auto"/>
        <w:jc w:val="both"/>
        <w:rPr>
          <w:rFonts w:ascii="Arial" w:eastAsia="Times New Roman" w:hAnsi="Arial" w:cs="Arial"/>
          <w:noProof/>
          <w:sz w:val="24"/>
          <w:szCs w:val="24"/>
          <w:lang w:eastAsia="ru-RU"/>
        </w:rPr>
      </w:pPr>
    </w:p>
    <w:p w14:paraId="414C9AD3" w14:textId="77777777" w:rsidR="00536B04" w:rsidRDefault="00536B04" w:rsidP="00B954EC">
      <w:pPr>
        <w:spacing w:after="0" w:line="240" w:lineRule="auto"/>
        <w:jc w:val="both"/>
        <w:rPr>
          <w:rFonts w:ascii="Arial" w:eastAsia="Times New Roman" w:hAnsi="Arial" w:cs="Arial"/>
          <w:noProof/>
          <w:sz w:val="24"/>
          <w:szCs w:val="24"/>
          <w:lang w:eastAsia="ru-RU"/>
        </w:rPr>
      </w:pPr>
    </w:p>
    <w:p w14:paraId="4E5B4505" w14:textId="77777777" w:rsidR="00536B04" w:rsidRDefault="00536B04" w:rsidP="00B954EC">
      <w:pPr>
        <w:spacing w:after="0" w:line="240" w:lineRule="auto"/>
        <w:jc w:val="both"/>
        <w:rPr>
          <w:rFonts w:ascii="Arial" w:eastAsia="Times New Roman" w:hAnsi="Arial" w:cs="Arial"/>
          <w:noProof/>
          <w:sz w:val="24"/>
          <w:szCs w:val="24"/>
          <w:lang w:eastAsia="ru-RU"/>
        </w:rPr>
      </w:pPr>
    </w:p>
    <w:p w14:paraId="586389D0" w14:textId="77777777" w:rsidR="00536B04" w:rsidRPr="006F2ECD" w:rsidRDefault="00536B04"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661EE05" w:rsidR="009B298D" w:rsidRDefault="00D9617E"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15F4F1C3" wp14:editId="25D97CCF">
            <wp:extent cx="5274310" cy="6712585"/>
            <wp:effectExtent l="0" t="0" r="2540" b="0"/>
            <wp:docPr id="9441394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39498" name=""/>
                    <pic:cNvPicPr/>
                  </pic:nvPicPr>
                  <pic:blipFill>
                    <a:blip r:embed="rId8"/>
                    <a:stretch>
                      <a:fillRect/>
                    </a:stretch>
                  </pic:blipFill>
                  <pic:spPr>
                    <a:xfrm>
                      <a:off x="0" y="0"/>
                      <a:ext cx="5274310" cy="6712585"/>
                    </a:xfrm>
                    <a:prstGeom prst="rect">
                      <a:avLst/>
                    </a:prstGeom>
                  </pic:spPr>
                </pic:pic>
              </a:graphicData>
            </a:graphic>
          </wp:inline>
        </w:drawing>
      </w:r>
    </w:p>
    <w:p w14:paraId="0ABA40DF" w14:textId="719D53AD" w:rsidR="009B298D" w:rsidRDefault="009B298D"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91ECD5F" w14:textId="77777777" w:rsidR="00536B04" w:rsidRDefault="00536B04" w:rsidP="00B954EC">
      <w:pPr>
        <w:spacing w:after="0" w:line="240" w:lineRule="auto"/>
        <w:jc w:val="right"/>
        <w:rPr>
          <w:rFonts w:ascii="Arial" w:eastAsia="Calibri" w:hAnsi="Arial" w:cs="Arial"/>
          <w:sz w:val="24"/>
          <w:szCs w:val="24"/>
        </w:rPr>
      </w:pPr>
    </w:p>
    <w:p w14:paraId="5C178DED" w14:textId="77777777" w:rsidR="00536B04" w:rsidRDefault="00536B04" w:rsidP="00B954EC">
      <w:pPr>
        <w:spacing w:after="0" w:line="240" w:lineRule="auto"/>
        <w:jc w:val="right"/>
        <w:rPr>
          <w:rFonts w:ascii="Arial" w:eastAsia="Calibri" w:hAnsi="Arial" w:cs="Arial"/>
          <w:sz w:val="24"/>
          <w:szCs w:val="24"/>
        </w:rPr>
      </w:pPr>
    </w:p>
    <w:p w14:paraId="117FE053" w14:textId="77777777" w:rsidR="00536B04" w:rsidRDefault="00536B04" w:rsidP="00B954EC">
      <w:pPr>
        <w:spacing w:after="0" w:line="240" w:lineRule="auto"/>
        <w:jc w:val="right"/>
        <w:rPr>
          <w:rFonts w:ascii="Arial" w:eastAsia="Calibri" w:hAnsi="Arial" w:cs="Arial"/>
          <w:sz w:val="24"/>
          <w:szCs w:val="24"/>
        </w:rPr>
      </w:pPr>
    </w:p>
    <w:p w14:paraId="741D0AB6" w14:textId="77777777" w:rsidR="00536B04" w:rsidRDefault="00536B04" w:rsidP="00B954EC">
      <w:pPr>
        <w:spacing w:after="0" w:line="240" w:lineRule="auto"/>
        <w:jc w:val="right"/>
        <w:rPr>
          <w:rFonts w:ascii="Arial" w:eastAsia="Calibri" w:hAnsi="Arial" w:cs="Arial"/>
          <w:sz w:val="24"/>
          <w:szCs w:val="24"/>
        </w:rPr>
      </w:pPr>
    </w:p>
    <w:p w14:paraId="002B9322" w14:textId="77777777" w:rsidR="00536B04" w:rsidRDefault="00536B04" w:rsidP="00B954EC">
      <w:pPr>
        <w:spacing w:after="0" w:line="240" w:lineRule="auto"/>
        <w:jc w:val="right"/>
        <w:rPr>
          <w:rFonts w:ascii="Arial" w:eastAsia="Calibri" w:hAnsi="Arial" w:cs="Arial"/>
          <w:sz w:val="24"/>
          <w:szCs w:val="24"/>
        </w:rPr>
      </w:pPr>
    </w:p>
    <w:p w14:paraId="0DCAF47B" w14:textId="77777777" w:rsidR="00536B04" w:rsidRDefault="00536B04" w:rsidP="00B954EC">
      <w:pPr>
        <w:spacing w:after="0" w:line="240" w:lineRule="auto"/>
        <w:jc w:val="right"/>
        <w:rPr>
          <w:rFonts w:ascii="Arial" w:eastAsia="Calibri" w:hAnsi="Arial" w:cs="Arial"/>
          <w:sz w:val="24"/>
          <w:szCs w:val="24"/>
        </w:rPr>
      </w:pPr>
    </w:p>
    <w:p w14:paraId="49C3D1E3" w14:textId="77777777" w:rsidR="00536B04" w:rsidRDefault="00536B04" w:rsidP="00B954EC">
      <w:pPr>
        <w:spacing w:after="0" w:line="240" w:lineRule="auto"/>
        <w:jc w:val="right"/>
        <w:rPr>
          <w:rFonts w:ascii="Arial" w:eastAsia="Calibri" w:hAnsi="Arial" w:cs="Arial"/>
          <w:sz w:val="24"/>
          <w:szCs w:val="24"/>
        </w:rPr>
      </w:pPr>
    </w:p>
    <w:p w14:paraId="47670753" w14:textId="77777777" w:rsidR="00D9617E" w:rsidRDefault="00D9617E" w:rsidP="00B954EC">
      <w:pPr>
        <w:spacing w:after="0" w:line="240" w:lineRule="auto"/>
        <w:jc w:val="right"/>
        <w:rPr>
          <w:rFonts w:ascii="Arial" w:eastAsia="Calibri" w:hAnsi="Arial" w:cs="Arial"/>
          <w:sz w:val="24"/>
          <w:szCs w:val="24"/>
        </w:rPr>
      </w:pPr>
    </w:p>
    <w:p w14:paraId="5B6CDD84" w14:textId="77777777" w:rsidR="00536B04" w:rsidRDefault="00536B04" w:rsidP="00B954EC">
      <w:pPr>
        <w:spacing w:after="0" w:line="240" w:lineRule="auto"/>
        <w:jc w:val="right"/>
        <w:rPr>
          <w:rFonts w:ascii="Arial" w:eastAsia="Calibri" w:hAnsi="Arial" w:cs="Arial"/>
          <w:sz w:val="24"/>
          <w:szCs w:val="24"/>
        </w:rPr>
      </w:pPr>
    </w:p>
    <w:p w14:paraId="00B666C2" w14:textId="7857CD53"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6AAD232" w:rsidR="009B298D" w:rsidRDefault="00D9617E" w:rsidP="00C76244">
      <w:pPr>
        <w:spacing w:after="0" w:line="240" w:lineRule="auto"/>
        <w:jc w:val="right"/>
        <w:rPr>
          <w:rFonts w:ascii="Arial" w:eastAsia="Times New Roman" w:hAnsi="Arial" w:cs="Arial"/>
          <w:sz w:val="24"/>
          <w:szCs w:val="24"/>
          <w:lang w:eastAsia="lv-LV"/>
        </w:rPr>
      </w:pPr>
      <w:r w:rsidRPr="00D9617E">
        <w:rPr>
          <w:rFonts w:ascii="Arial" w:eastAsia="Times New Roman" w:hAnsi="Arial" w:cs="Arial"/>
          <w:b/>
          <w:bCs/>
          <w:noProof/>
          <w:sz w:val="24"/>
          <w:szCs w:val="24"/>
          <w:lang w:eastAsia="ru-RU"/>
        </w:rPr>
        <w:t>“Ķīviti”, Tadaiķu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98E2C" w14:textId="77777777" w:rsidR="00D7389B" w:rsidRDefault="00D7389B" w:rsidP="00756A47">
      <w:pPr>
        <w:spacing w:after="0" w:line="240" w:lineRule="auto"/>
      </w:pPr>
      <w:r>
        <w:separator/>
      </w:r>
    </w:p>
  </w:endnote>
  <w:endnote w:type="continuationSeparator" w:id="0">
    <w:p w14:paraId="17E4A02B" w14:textId="77777777" w:rsidR="00D7389B" w:rsidRDefault="00D7389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7E4C" w14:textId="77777777" w:rsidR="00D7389B" w:rsidRDefault="00D7389B" w:rsidP="00756A47">
      <w:pPr>
        <w:spacing w:after="0" w:line="240" w:lineRule="auto"/>
      </w:pPr>
      <w:r>
        <w:separator/>
      </w:r>
    </w:p>
  </w:footnote>
  <w:footnote w:type="continuationSeparator" w:id="0">
    <w:p w14:paraId="1F185E81" w14:textId="77777777" w:rsidR="00D7389B" w:rsidRDefault="00D7389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77849"/>
    <w:rsid w:val="0048130E"/>
    <w:rsid w:val="00483B2D"/>
    <w:rsid w:val="0049367A"/>
    <w:rsid w:val="004A2AEB"/>
    <w:rsid w:val="004A6FC3"/>
    <w:rsid w:val="004D4477"/>
    <w:rsid w:val="004F01FF"/>
    <w:rsid w:val="004F039C"/>
    <w:rsid w:val="00526722"/>
    <w:rsid w:val="00530E1D"/>
    <w:rsid w:val="00536B04"/>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3193"/>
    <w:rsid w:val="009B298D"/>
    <w:rsid w:val="009C0EB7"/>
    <w:rsid w:val="009D6048"/>
    <w:rsid w:val="009E6173"/>
    <w:rsid w:val="009F789A"/>
    <w:rsid w:val="00A07CE2"/>
    <w:rsid w:val="00A12573"/>
    <w:rsid w:val="00A2106E"/>
    <w:rsid w:val="00A2271A"/>
    <w:rsid w:val="00A311F2"/>
    <w:rsid w:val="00A51354"/>
    <w:rsid w:val="00A74C45"/>
    <w:rsid w:val="00A913FC"/>
    <w:rsid w:val="00AA3C1A"/>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389B"/>
    <w:rsid w:val="00D748F7"/>
    <w:rsid w:val="00D9617E"/>
    <w:rsid w:val="00D97F0C"/>
    <w:rsid w:val="00DB1D32"/>
    <w:rsid w:val="00DB3F5A"/>
    <w:rsid w:val="00DC210E"/>
    <w:rsid w:val="00DC3799"/>
    <w:rsid w:val="00DC48DC"/>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8750</Words>
  <Characters>4988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2024-11-13T12:49:00Z</dcterms:created>
  <dcterms:modified xsi:type="dcterms:W3CDTF">2024-11-14T09:34:00Z</dcterms:modified>
</cp:coreProperties>
</file>