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43E8"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E3895" w14:paraId="305A7578" w14:textId="77777777" w:rsidTr="009441BE">
        <w:tc>
          <w:tcPr>
            <w:tcW w:w="9180" w:type="dxa"/>
            <w:tcBorders>
              <w:top w:val="nil"/>
              <w:left w:val="nil"/>
              <w:bottom w:val="single" w:sz="4" w:space="0" w:color="auto"/>
              <w:right w:val="nil"/>
            </w:tcBorders>
            <w:hideMark/>
          </w:tcPr>
          <w:p w14:paraId="5409FFE9"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393B0567" wp14:editId="284B134A">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EAB6550"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19595A68"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13EE0B25"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2E2E493C"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40BC3E84"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10B71EE1"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5C2857CE"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12BD7146" w14:textId="77777777" w:rsidR="004D711E" w:rsidRPr="004D711E" w:rsidRDefault="004D711E" w:rsidP="004D711E">
      <w:pPr>
        <w:suppressAutoHyphens w:val="0"/>
        <w:spacing w:line="240" w:lineRule="auto"/>
        <w:jc w:val="both"/>
        <w:rPr>
          <w:rFonts w:ascii="Arial" w:eastAsia="Calibri" w:hAnsi="Arial" w:cs="Arial"/>
          <w:sz w:val="24"/>
          <w:szCs w:val="24"/>
        </w:rPr>
      </w:pPr>
    </w:p>
    <w:p w14:paraId="08AF5271"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28.03.2025.</w:t>
      </w:r>
      <w:r w:rsidRPr="004D711E">
        <w:rPr>
          <w:rFonts w:ascii="Arial" w:eastAsia="Calibri" w:hAnsi="Arial" w:cs="Arial"/>
          <w:b/>
          <w:bCs/>
          <w:sz w:val="24"/>
          <w:szCs w:val="24"/>
        </w:rPr>
        <w:tab/>
        <w:t>Nr. B/2025/1.7/3</w:t>
      </w:r>
    </w:p>
    <w:p w14:paraId="48FA5B85" w14:textId="77777777" w:rsidR="004D711E" w:rsidRPr="004D711E" w:rsidRDefault="004D711E" w:rsidP="004D711E">
      <w:pPr>
        <w:suppressAutoHyphens w:val="0"/>
        <w:spacing w:line="240" w:lineRule="auto"/>
        <w:jc w:val="both"/>
        <w:rPr>
          <w:rFonts w:ascii="Arial" w:eastAsia="Calibri" w:hAnsi="Arial" w:cs="Arial"/>
          <w:sz w:val="24"/>
          <w:szCs w:val="24"/>
        </w:rPr>
      </w:pPr>
    </w:p>
    <w:p w14:paraId="4795C612" w14:textId="77777777" w:rsidR="004D711E" w:rsidRPr="004D711E" w:rsidRDefault="004D711E" w:rsidP="004D711E">
      <w:pPr>
        <w:suppressAutoHyphens w:val="0"/>
        <w:spacing w:line="240" w:lineRule="auto"/>
        <w:jc w:val="both"/>
        <w:rPr>
          <w:rFonts w:ascii="Arial" w:eastAsia="Calibri" w:hAnsi="Arial" w:cs="Arial"/>
          <w:sz w:val="24"/>
          <w:szCs w:val="24"/>
        </w:rPr>
      </w:pPr>
    </w:p>
    <w:p w14:paraId="57DC88B0"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 xml:space="preserve">Par zemes vienības plānoto (atļauto) teritorijas izmantošanu </w:t>
      </w:r>
    </w:p>
    <w:p w14:paraId="4274B436" w14:textId="77777777" w:rsidR="004D711E" w:rsidRPr="004D711E" w:rsidRDefault="004D711E" w:rsidP="004D711E">
      <w:pPr>
        <w:suppressAutoHyphens w:val="0"/>
        <w:spacing w:line="240" w:lineRule="auto"/>
        <w:jc w:val="both"/>
        <w:rPr>
          <w:rFonts w:ascii="Arial" w:eastAsia="Calibri" w:hAnsi="Arial" w:cs="Arial"/>
          <w:sz w:val="24"/>
          <w:szCs w:val="24"/>
        </w:rPr>
      </w:pPr>
    </w:p>
    <w:p w14:paraId="12324127"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lang w:eastAsia="lv-LV"/>
        </w:rPr>
        <w:t xml:space="preserve">Dienvidkurzemes novada pašvaldības iestādē “Dienvidkurzemes novada Būvvalde” </w:t>
      </w:r>
      <w:r w:rsidRPr="00CD7B94">
        <w:rPr>
          <w:rFonts w:ascii="Arial" w:eastAsia="Calibri" w:hAnsi="Arial" w:cs="Arial"/>
          <w:i/>
          <w:iCs/>
          <w:sz w:val="24"/>
          <w:lang w:eastAsia="lv-LV"/>
        </w:rPr>
        <w:t>(turpmāk – Būvvalde)</w:t>
      </w:r>
      <w:r w:rsidRPr="00CD7B94">
        <w:rPr>
          <w:rFonts w:ascii="Arial" w:eastAsia="Calibri" w:hAnsi="Arial" w:cs="Arial"/>
          <w:sz w:val="24"/>
          <w:lang w:eastAsia="lv-LV"/>
        </w:rPr>
        <w:t xml:space="preserve"> saņemts Dienvidkurzemes novada pašvaldības iestādes “Dienvidkurzemes novada Nekustamā īpašuma pārvalde” </w:t>
      </w:r>
      <w:r w:rsidRPr="00CD7B94">
        <w:rPr>
          <w:rFonts w:ascii="Arial" w:eastAsia="Calibri" w:hAnsi="Arial" w:cs="Arial"/>
          <w:i/>
          <w:iCs/>
          <w:sz w:val="24"/>
          <w:lang w:eastAsia="lv-LV"/>
        </w:rPr>
        <w:t>(turpmāk – Iesniedzējs)</w:t>
      </w:r>
      <w:r w:rsidRPr="00CD7B94">
        <w:rPr>
          <w:rFonts w:ascii="Arial" w:eastAsia="Calibri" w:hAnsi="Arial" w:cs="Arial"/>
          <w:sz w:val="24"/>
          <w:lang w:eastAsia="lv-LV"/>
        </w:rPr>
        <w:t xml:space="preserve">  2025. gada 24. marta iesniegums Nr. NĪP/2025/1.10/468-N (reģistrēts 25.03.2025. ar Nr. B/2025/1.2/447-S). Iesniedzējs lūdz </w:t>
      </w:r>
      <w:r w:rsidRPr="00CD7B94">
        <w:rPr>
          <w:rFonts w:ascii="Arial" w:eastAsia="Calibri" w:hAnsi="Arial" w:cs="Arial"/>
          <w:sz w:val="24"/>
          <w:szCs w:val="24"/>
        </w:rPr>
        <w:t>izsniegt izziņu par zemes vienības plānoto (atļauto) teritorijas izmantošanu, kas noteikta teritorijas plānojumā, pašvaldībai piekritīgai zemes vienībai 1,67 ha platībā ar kadastra apzīmējumu 64460050200, kas ietilpst nekustamā īpašuma “Birznieku Upmalas”, Bunkas  pagasts, Dienvidkurzemes novads, sastāvā. Izziņa nepieciešama lēmuma sagatavošanai par nekustamā īpašuma nodošanu atsavināšanai izsolē.</w:t>
      </w:r>
    </w:p>
    <w:p w14:paraId="2CFA3E39"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Dienvidkurzemes novada pašvaldības teritorijā, atbilstoši 2024. gada 28. decembra pašvaldības iestādes “Dienvidkurzemes novada Būvvalde” Nolikuma 2.4.3. punktam, pašvaldības teritorijas plānojuma īstenošanas uzraudzību realizē Dienvidkurzemes novada Būvvalde.</w:t>
      </w:r>
    </w:p>
    <w:p w14:paraId="1731EE5F"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Dienvidkurzemes novada Bunkas  pagasta teritorijā, līdz brīdim, kad stāsies spēkā apvienotā Dienvidkurzemes novada teritorijas plānojums, teritorijas izmantošanas un apbūves kārtību nosaka Priekules novada teritorijas plānojuma 2015. – 2026. gadam grozījumi, tai skaitā Dienvidkurzemes novada pašvaldības domes izdotie 2022. gada 24. februāra saistošie noteikumi Nr. 2022/7 “Priekules novada teritorijas plānojuma 2015. – 2026. gadam grozījumu teritorijas izmantošanas un apbūves noteikumi un grafiskā daļa” </w:t>
      </w:r>
      <w:r w:rsidRPr="00CD7B94">
        <w:rPr>
          <w:rFonts w:ascii="Arial" w:eastAsia="Calibri" w:hAnsi="Arial" w:cs="Arial"/>
          <w:i/>
          <w:iCs/>
          <w:sz w:val="24"/>
          <w:szCs w:val="24"/>
        </w:rPr>
        <w:t>(turpmāk – TIAN)</w:t>
      </w:r>
      <w:r w:rsidRPr="00CD7B94">
        <w:rPr>
          <w:rFonts w:ascii="Arial" w:eastAsia="Calibri" w:hAnsi="Arial" w:cs="Arial"/>
          <w:sz w:val="24"/>
          <w:szCs w:val="24"/>
        </w:rPr>
        <w:t>.</w:t>
      </w:r>
    </w:p>
    <w:p w14:paraId="719267EF"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Nekustamais īpašums </w:t>
      </w:r>
      <w:r w:rsidRPr="00CD7B94">
        <w:rPr>
          <w:rFonts w:ascii="Arial" w:eastAsia="Calibri" w:hAnsi="Arial" w:cs="Arial"/>
          <w:b/>
          <w:bCs/>
          <w:sz w:val="24"/>
          <w:szCs w:val="24"/>
        </w:rPr>
        <w:t>“Birznieku Upmalas”</w:t>
      </w:r>
      <w:r w:rsidRPr="00CD7B94">
        <w:rPr>
          <w:rFonts w:ascii="Arial" w:eastAsia="Calibri" w:hAnsi="Arial" w:cs="Arial"/>
          <w:sz w:val="24"/>
          <w:szCs w:val="24"/>
        </w:rPr>
        <w:t>, kadastra Nr. 64460050292, atrodas Dienvidkurzemes novada Bunkas pagasta lauku teritorijā. Īpašums ir pašvaldībai piekritīga zeme, zemesgrāmatā nav reģistrēts. Īpašuma kopējā platība 1,67 ha, ko veido viena (1) zemes vienība ar kadastra apzīmējumu 64460050200. Uz zemes vienības nav reģistrētas būves, adrese nav piešķirta. Pēc Nekustamā īpašuma valsts kadastra informācijas sistēmas datiem zemes vienības tiesiskais valdītājs ir Dienvidkurzemes novada pašvaldība, reģistrācijas Nr. 90000058625.</w:t>
      </w:r>
    </w:p>
    <w:p w14:paraId="18AA2939"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Saskaņā ar TIAN, zemes vienībā ar kadastra apzīmējumu 64460050200 spēkā esošais zonējums ir Lauksaimniecības teritorijas (L), Mežu teritorijas (M) un Ūdeņu teritorijas (Ū) </w:t>
      </w:r>
      <w:r w:rsidRPr="00CD7B94">
        <w:rPr>
          <w:rFonts w:ascii="Arial" w:eastAsia="Calibri" w:hAnsi="Arial" w:cs="Arial"/>
          <w:i/>
          <w:iCs/>
          <w:sz w:val="24"/>
          <w:szCs w:val="24"/>
        </w:rPr>
        <w:t>(skatīt attēlā)</w:t>
      </w:r>
      <w:r w:rsidRPr="00CD7B94">
        <w:rPr>
          <w:rFonts w:ascii="Arial" w:eastAsia="Calibri" w:hAnsi="Arial" w:cs="Arial"/>
          <w:sz w:val="24"/>
          <w:szCs w:val="24"/>
        </w:rPr>
        <w:t xml:space="preserve">. Saskaņā ar platības sadalījumu pa lietošanas veidiem, dominējošā ekonomiskā darbība zemes vienībā ir lauksaimniecība, jo lielākā daļa no </w:t>
      </w:r>
      <w:r w:rsidRPr="00CD7B94">
        <w:rPr>
          <w:rFonts w:ascii="Arial" w:eastAsia="Calibri" w:hAnsi="Arial" w:cs="Arial"/>
          <w:sz w:val="24"/>
          <w:szCs w:val="24"/>
        </w:rPr>
        <w:lastRenderedPageBreak/>
        <w:t xml:space="preserve">zemes vienības platības ir reģistrēta kā lauksaimniecībā izmantojamā zeme (1,05 ha). Zemes vienībai noteikts nekustamā īpašuma lietošanas mērķis – zeme, uz kuras galvenā saimnieciskā darbība ir lauksaimniecība, NĪLM kods 0101. Tas atbilst teritorijas plānojumā noteiktajai plānotajai (atļautajai) un pašreizējai teritorijas izmantošanai, kā arī Ministru kabineta 2006. gada 20. jūnija noteikumos Nr. 496 “Nekustamā īpašuma lietošanas mērķu klasifikācija un nekustamā īpašuma lietošanas mērķu noteikšanas un maiņas kārtība” noteiktajām prasībām. </w:t>
      </w:r>
    </w:p>
    <w:p w14:paraId="52FC2AAD" w14:textId="77777777" w:rsidR="00CD7B94" w:rsidRPr="00CD7B94" w:rsidRDefault="00000000" w:rsidP="00CD7B94">
      <w:pPr>
        <w:suppressAutoHyphens w:val="0"/>
        <w:spacing w:after="120" w:line="240" w:lineRule="auto"/>
        <w:jc w:val="center"/>
        <w:rPr>
          <w:rFonts w:ascii="Arial" w:eastAsia="Calibri" w:hAnsi="Arial" w:cs="Arial"/>
          <w:sz w:val="24"/>
          <w:szCs w:val="24"/>
        </w:rPr>
      </w:pPr>
      <w:r w:rsidRPr="00CD7B94">
        <w:rPr>
          <w:rFonts w:ascii="Arial" w:eastAsia="Calibri" w:hAnsi="Arial" w:cs="Arial"/>
          <w:noProof/>
          <w:sz w:val="24"/>
          <w:szCs w:val="24"/>
          <w14:ligatures w14:val="standardContextual"/>
        </w:rPr>
        <w:drawing>
          <wp:inline distT="0" distB="0" distL="0" distR="0" wp14:anchorId="632FD3AD" wp14:editId="3CD86CDD">
            <wp:extent cx="2855366" cy="3080197"/>
            <wp:effectExtent l="0" t="0" r="2540" b="6350"/>
            <wp:docPr id="136501952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19527" name="Attēls 1365019527"/>
                    <pic:cNvPicPr/>
                  </pic:nvPicPr>
                  <pic:blipFill>
                    <a:blip r:embed="rId9">
                      <a:extLst>
                        <a:ext uri="{28A0092B-C50C-407E-A947-70E740481C1C}">
                          <a14:useLocalDpi xmlns:a14="http://schemas.microsoft.com/office/drawing/2010/main" val="0"/>
                        </a:ext>
                      </a:extLst>
                    </a:blip>
                    <a:stretch>
                      <a:fillRect/>
                    </a:stretch>
                  </pic:blipFill>
                  <pic:spPr>
                    <a:xfrm>
                      <a:off x="0" y="0"/>
                      <a:ext cx="2870350" cy="3096361"/>
                    </a:xfrm>
                    <a:prstGeom prst="rect">
                      <a:avLst/>
                    </a:prstGeom>
                  </pic:spPr>
                </pic:pic>
              </a:graphicData>
            </a:graphic>
          </wp:inline>
        </w:drawing>
      </w:r>
      <w:r w:rsidRPr="00CD7B94">
        <w:rPr>
          <w:rFonts w:ascii="Arial" w:eastAsia="Calibri" w:hAnsi="Arial" w:cs="Arial"/>
          <w:sz w:val="24"/>
          <w:szCs w:val="24"/>
        </w:rPr>
        <w:t xml:space="preserve">  </w:t>
      </w:r>
      <w:r w:rsidRPr="00CD7B94">
        <w:rPr>
          <w:rFonts w:ascii="Arial" w:eastAsia="Calibri" w:hAnsi="Arial" w:cs="Arial"/>
          <w:noProof/>
          <w:sz w:val="24"/>
          <w:szCs w:val="24"/>
          <w14:ligatures w14:val="standardContextual"/>
        </w:rPr>
        <w:drawing>
          <wp:inline distT="0" distB="0" distL="0" distR="0" wp14:anchorId="55D52C08" wp14:editId="6E070F43">
            <wp:extent cx="2588081" cy="3080257"/>
            <wp:effectExtent l="0" t="0" r="3175" b="6350"/>
            <wp:docPr id="4763353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3532" name="Attēls 47633532"/>
                    <pic:cNvPicPr/>
                  </pic:nvPicPr>
                  <pic:blipFill>
                    <a:blip r:embed="rId10">
                      <a:extLst>
                        <a:ext uri="{28A0092B-C50C-407E-A947-70E740481C1C}">
                          <a14:useLocalDpi xmlns:a14="http://schemas.microsoft.com/office/drawing/2010/main" val="0"/>
                        </a:ext>
                      </a:extLst>
                    </a:blip>
                    <a:stretch>
                      <a:fillRect/>
                    </a:stretch>
                  </pic:blipFill>
                  <pic:spPr>
                    <a:xfrm>
                      <a:off x="0" y="0"/>
                      <a:ext cx="2602549" cy="3097476"/>
                    </a:xfrm>
                    <a:prstGeom prst="rect">
                      <a:avLst/>
                    </a:prstGeom>
                  </pic:spPr>
                </pic:pic>
              </a:graphicData>
            </a:graphic>
          </wp:inline>
        </w:drawing>
      </w:r>
    </w:p>
    <w:p w14:paraId="2EFE06D1" w14:textId="77777777" w:rsidR="00CD7B94" w:rsidRPr="00CD7B94" w:rsidRDefault="00000000" w:rsidP="00CD7B94">
      <w:pPr>
        <w:suppressAutoHyphens w:val="0"/>
        <w:spacing w:after="120" w:line="240" w:lineRule="auto"/>
        <w:ind w:firstLine="567"/>
        <w:jc w:val="both"/>
        <w:rPr>
          <w:rFonts w:ascii="Arial" w:eastAsia="Calibri" w:hAnsi="Arial" w:cs="Arial"/>
          <w:noProof/>
          <w:sz w:val="24"/>
          <w:szCs w:val="24"/>
        </w:rPr>
      </w:pPr>
      <w:r w:rsidRPr="00CD7B94">
        <w:rPr>
          <w:rFonts w:ascii="Arial" w:eastAsia="Calibri" w:hAnsi="Arial" w:cs="Arial"/>
          <w:sz w:val="24"/>
          <w:szCs w:val="24"/>
        </w:rPr>
        <w:t xml:space="preserve"> Saskaņā ar TIAN 239. punktu Lauksaimniecības teritorija (L) ir funkcionālā zona, kas noteikta, lai nodrošinātu lauksaimniecības zemes kā resursa, racionālu un daudzveidīgu izmantošanu visa veida lauksaimnieciskajai darbībai un ar to saistītajiem pakalpojumiem. </w:t>
      </w:r>
      <w:bookmarkStart w:id="0" w:name="_Hlk193979667"/>
      <w:r w:rsidRPr="00CD7B94">
        <w:rPr>
          <w:rFonts w:ascii="Arial" w:eastAsia="Calibri" w:hAnsi="Arial" w:cs="Arial"/>
          <w:sz w:val="24"/>
          <w:szCs w:val="24"/>
        </w:rPr>
        <w:t xml:space="preserve">Atbilstoši 4.11.1.2. apakšnodaļai (no 240. līdz 245. punktam), šajās teritorijās ir atļauti šādi teritorijas </w:t>
      </w:r>
      <w:r w:rsidRPr="00CD7B94">
        <w:rPr>
          <w:rFonts w:ascii="Arial" w:eastAsia="Calibri" w:hAnsi="Arial" w:cs="Arial"/>
          <w:sz w:val="24"/>
          <w:szCs w:val="24"/>
          <w:u w:val="single"/>
        </w:rPr>
        <w:t>galvenie zemes izmantošanas veidi</w:t>
      </w:r>
      <w:r w:rsidRPr="00CD7B94">
        <w:rPr>
          <w:rFonts w:ascii="Arial" w:eastAsia="Calibri" w:hAnsi="Arial" w:cs="Arial"/>
          <w:sz w:val="24"/>
          <w:szCs w:val="24"/>
        </w:rPr>
        <w:t xml:space="preserve">: </w:t>
      </w:r>
      <w:bookmarkEnd w:id="0"/>
      <w:r w:rsidRPr="00CD7B94">
        <w:rPr>
          <w:rFonts w:ascii="Arial" w:eastAsia="Calibri" w:hAnsi="Arial" w:cs="Arial"/>
          <w:sz w:val="24"/>
          <w:szCs w:val="24"/>
        </w:rPr>
        <w:t xml:space="preserve">viensētu apbūve (11004), lauksaimnieciskās ražošanas uzņēmumu apbūve (13003), lauksaimnieciska izmantošana (22001), labiekārtota ārtelpa (24001), ārtelpa bez labiekārtojuma (24002), ūdens telpas publiskā izmantošana (24003). </w:t>
      </w:r>
      <w:bookmarkStart w:id="1" w:name="_Hlk193979810"/>
      <w:r w:rsidRPr="00CD7B94">
        <w:rPr>
          <w:rFonts w:ascii="Arial" w:eastAsia="Calibri" w:hAnsi="Arial" w:cs="Arial"/>
          <w:sz w:val="24"/>
          <w:szCs w:val="24"/>
        </w:rPr>
        <w:t xml:space="preserve">Atbilstoši 4.11.1.3. apakšnodaļai (no 246. līdz 267. punktam) šajās teritorijās ir atļauti šādi teritorijas </w:t>
      </w:r>
      <w:r w:rsidRPr="00CD7B94">
        <w:rPr>
          <w:rFonts w:ascii="Arial" w:eastAsia="Calibri" w:hAnsi="Arial" w:cs="Arial"/>
          <w:sz w:val="24"/>
          <w:szCs w:val="24"/>
          <w:u w:val="single"/>
        </w:rPr>
        <w:t>papildizmantošanas veidi</w:t>
      </w:r>
      <w:r w:rsidRPr="00CD7B94">
        <w:rPr>
          <w:rFonts w:ascii="Arial" w:eastAsia="Calibri" w:hAnsi="Arial" w:cs="Arial"/>
          <w:sz w:val="24"/>
          <w:szCs w:val="24"/>
        </w:rPr>
        <w:t xml:space="preserve">:  </w:t>
      </w:r>
      <w:bookmarkEnd w:id="1"/>
      <w:r w:rsidRPr="00CD7B94">
        <w:rPr>
          <w:rFonts w:ascii="Arial" w:eastAsia="Calibri" w:hAnsi="Arial" w:cs="Arial"/>
          <w:sz w:val="24"/>
          <w:szCs w:val="24"/>
        </w:rPr>
        <w:t>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infrastruktūra (14003), noliktavu apbūve (14004), lidostu un ostu apbūve (14005), energoapgādes uzņēmumu apbūve (14006), mežsaimnieciska izmantošana (21001), ūdenssaimnieciska izmantošana (23001).</w:t>
      </w:r>
    </w:p>
    <w:p w14:paraId="62583CD7"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bookmarkStart w:id="2" w:name="_Hlk193979936"/>
      <w:r w:rsidRPr="00CD7B94">
        <w:rPr>
          <w:rFonts w:ascii="Arial" w:eastAsia="Calibri" w:hAnsi="Arial" w:cs="Arial"/>
          <w:sz w:val="24"/>
          <w:szCs w:val="24"/>
        </w:rPr>
        <w:t xml:space="preserve">Saskaņā ar TIAN  </w:t>
      </w:r>
      <w:bookmarkEnd w:id="2"/>
      <w:r w:rsidRPr="00CD7B94">
        <w:rPr>
          <w:rFonts w:ascii="Arial" w:eastAsia="Calibri" w:hAnsi="Arial" w:cs="Arial"/>
          <w:sz w:val="24"/>
          <w:szCs w:val="24"/>
        </w:rPr>
        <w:t xml:space="preserve">227. punktu Mežu teritorija (M) ir funkcionālā zona, kas noteikta, lai nodrošinātu apstākļus mežu ilgtspējīgai attīstībai un mežu galveno funkciju – saimniecisko, ekoloģisko un sociālo funkciju īstenošanai. Atbilstoši 4.10.1.2. apakšnodaļai (no 228. līdz 231. punktam), </w:t>
      </w:r>
      <w:bookmarkStart w:id="3" w:name="_Hlk193980037"/>
      <w:r w:rsidRPr="00CD7B94">
        <w:rPr>
          <w:rFonts w:ascii="Arial" w:eastAsia="Calibri" w:hAnsi="Arial" w:cs="Arial"/>
          <w:sz w:val="24"/>
          <w:szCs w:val="24"/>
        </w:rPr>
        <w:t xml:space="preserve">šajās teritorijās ir atļauti šādi teritorijas </w:t>
      </w:r>
      <w:r w:rsidRPr="00CD7B94">
        <w:rPr>
          <w:rFonts w:ascii="Arial" w:eastAsia="Calibri" w:hAnsi="Arial" w:cs="Arial"/>
          <w:sz w:val="24"/>
          <w:szCs w:val="24"/>
          <w:u w:val="single"/>
        </w:rPr>
        <w:t>galvenie zemes izmantošanas veidi</w:t>
      </w:r>
      <w:r w:rsidRPr="00CD7B94">
        <w:rPr>
          <w:rFonts w:ascii="Arial" w:eastAsia="Calibri" w:hAnsi="Arial" w:cs="Arial"/>
          <w:sz w:val="24"/>
          <w:szCs w:val="24"/>
        </w:rPr>
        <w:t>:</w:t>
      </w:r>
      <w:bookmarkEnd w:id="3"/>
      <w:r w:rsidRPr="00CD7B94">
        <w:rPr>
          <w:rFonts w:eastAsia="Calibri" w:cs="Times New Roman"/>
          <w:kern w:val="2"/>
          <w14:ligatures w14:val="standardContextual"/>
        </w:rPr>
        <w:t xml:space="preserve"> </w:t>
      </w:r>
      <w:r w:rsidRPr="00CD7B94">
        <w:rPr>
          <w:rFonts w:ascii="Arial" w:eastAsia="Calibri" w:hAnsi="Arial" w:cs="Arial"/>
          <w:kern w:val="2"/>
          <w:sz w:val="24"/>
          <w:szCs w:val="24"/>
          <w14:ligatures w14:val="standardContextual"/>
        </w:rPr>
        <w:t>m</w:t>
      </w:r>
      <w:r w:rsidRPr="00CD7B94">
        <w:rPr>
          <w:rFonts w:ascii="Arial" w:eastAsia="Calibri" w:hAnsi="Arial" w:cs="Arial"/>
          <w:sz w:val="24"/>
          <w:szCs w:val="24"/>
        </w:rPr>
        <w:t xml:space="preserve">ežsaimnieciska izmantošana (21001), mežs īpaši aizsargājamās dabas teritorijās (21002), labiekārtota ārtelpa (24001), ārtelpa bez </w:t>
      </w:r>
      <w:r w:rsidRPr="00CD7B94">
        <w:rPr>
          <w:rFonts w:ascii="Arial" w:eastAsia="Calibri" w:hAnsi="Arial" w:cs="Arial"/>
          <w:sz w:val="24"/>
          <w:szCs w:val="24"/>
        </w:rPr>
        <w:lastRenderedPageBreak/>
        <w:t xml:space="preserve">labiekārtojuma (24002). Atbilstoši 4.10.1.3. apakšnodaļai (no 232. līdz 237. punktam) šajās teritorijās ir atļauti šādi teritorijas </w:t>
      </w:r>
      <w:r w:rsidRPr="00CD7B94">
        <w:rPr>
          <w:rFonts w:ascii="Arial" w:eastAsia="Calibri" w:hAnsi="Arial" w:cs="Arial"/>
          <w:sz w:val="24"/>
          <w:szCs w:val="24"/>
          <w:u w:val="single"/>
        </w:rPr>
        <w:t>papildizmantošanas veidi</w:t>
      </w:r>
      <w:r w:rsidRPr="00CD7B94">
        <w:rPr>
          <w:rFonts w:ascii="Arial" w:eastAsia="Calibri" w:hAnsi="Arial" w:cs="Arial"/>
          <w:sz w:val="24"/>
          <w:szCs w:val="24"/>
        </w:rPr>
        <w:t>:  viensētu apbūve (11004), tirdzniecības vai pakalpojumu objektu apbūve (12002), tūrisma un atpūtas iestāžu apbūve (12003), sporta būvju apbūve (12005), derīgo izrakteņu ieguve (13004), lauksaimnieciska izmantošana (22001).</w:t>
      </w:r>
    </w:p>
    <w:p w14:paraId="6E22F7CB"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Saskaņā ar TIAN  269. punktu Ūdeņu teritorija (Ū) ir funkcionālā zona, kas noteikta, lai izplānotu un nodrošinātu racionālu un ilgtspējīgu ūdeņu resursu izmantošanu saimnieciskai darbībai, transportam, rekreācijai un vides aizsardzībai. Atbilstoši TIAN 4.12.1.2. apakšnodaļai (no 270. līdz 275. punktam), šajās teritorijās ir atļauti šādi teritorijas </w:t>
      </w:r>
      <w:r w:rsidRPr="00CD7B94">
        <w:rPr>
          <w:rFonts w:ascii="Arial" w:eastAsia="Calibri" w:hAnsi="Arial" w:cs="Arial"/>
          <w:sz w:val="24"/>
          <w:szCs w:val="24"/>
          <w:u w:val="single"/>
        </w:rPr>
        <w:t>galvenie zemes izmantošanas veidi</w:t>
      </w:r>
      <w:r w:rsidRPr="00CD7B94">
        <w:rPr>
          <w:rFonts w:ascii="Arial" w:eastAsia="Calibri" w:hAnsi="Arial" w:cs="Arial"/>
          <w:sz w:val="24"/>
          <w:szCs w:val="24"/>
        </w:rPr>
        <w:t xml:space="preserve">: inženiertehniskā infrastruktūra (14001), transporta lineārā infrastruktūra (14002), transporta apkalpojošā infrastruktūra (14003), energoapgādes uzņēmumu apbūve (14006), ūdenssaimnieciska izmantošana (23001), ūdens telpas publiskā izmantošana (24003). Atbilstoši 4.12.1.3. apakšnodaļai (no 276. līdz 277. punktam) šajās teritorijās ir atļauti šādi teritorijas </w:t>
      </w:r>
      <w:r w:rsidRPr="00CD7B94">
        <w:rPr>
          <w:rFonts w:ascii="Arial" w:eastAsia="Calibri" w:hAnsi="Arial" w:cs="Arial"/>
          <w:sz w:val="24"/>
          <w:szCs w:val="24"/>
          <w:u w:val="single"/>
        </w:rPr>
        <w:t>papildizmantošanas veidi</w:t>
      </w:r>
      <w:r w:rsidRPr="00CD7B94">
        <w:rPr>
          <w:rFonts w:ascii="Arial" w:eastAsia="Calibri" w:hAnsi="Arial" w:cs="Arial"/>
          <w:sz w:val="24"/>
          <w:szCs w:val="24"/>
        </w:rPr>
        <w:t xml:space="preserve">: dzīvojamā apbūve uz ūdens (11007), derīgo izrakteņu ieguve (13004). </w:t>
      </w:r>
    </w:p>
    <w:p w14:paraId="4E8911F8"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p>
    <w:p w14:paraId="7B832E3B" w14:textId="77777777" w:rsidR="00CD7B94" w:rsidRPr="00CD7B94" w:rsidRDefault="00000000" w:rsidP="00CD7B94">
      <w:pPr>
        <w:suppressAutoHyphens w:val="0"/>
        <w:spacing w:after="120" w:line="240" w:lineRule="auto"/>
        <w:ind w:firstLine="567"/>
        <w:jc w:val="both"/>
        <w:rPr>
          <w:rFonts w:ascii="Arial" w:eastAsia="Calibri" w:hAnsi="Arial" w:cs="Arial"/>
          <w:sz w:val="24"/>
          <w:szCs w:val="24"/>
        </w:rPr>
      </w:pPr>
      <w:r w:rsidRPr="00CD7B94">
        <w:rPr>
          <w:rFonts w:ascii="Arial" w:eastAsia="Calibri" w:hAnsi="Arial" w:cs="Arial"/>
          <w:sz w:val="24"/>
          <w:szCs w:val="24"/>
        </w:rPr>
        <w:t xml:space="preserve">Interaktīvā saite uz Priekules novada teritorijas plānojuma 2015.-2026. gadam grozījumiem ģeoportālā www.geolatvija.lv: </w:t>
      </w:r>
      <w:hyperlink r:id="rId11" w:anchor="document_22860" w:history="1">
        <w:r w:rsidR="00CD7B94" w:rsidRPr="00CD7B94">
          <w:rPr>
            <w:rFonts w:ascii="Arial" w:eastAsia="Calibri" w:hAnsi="Arial" w:cs="Arial"/>
            <w:color w:val="0563C1"/>
            <w:kern w:val="2"/>
            <w:sz w:val="24"/>
            <w:szCs w:val="24"/>
            <w:u w:val="single"/>
            <w14:ligatures w14:val="standardContextual"/>
          </w:rPr>
          <w:t>https://geolatvija.lv/geo/tapis?document=open#document_22860</w:t>
        </w:r>
      </w:hyperlink>
      <w:r w:rsidRPr="00CD7B94">
        <w:rPr>
          <w:rFonts w:ascii="Arial" w:eastAsia="Calibri" w:hAnsi="Arial" w:cs="Arial"/>
          <w:sz w:val="24"/>
          <w:szCs w:val="24"/>
        </w:rPr>
        <w:t xml:space="preserve">.  </w:t>
      </w:r>
    </w:p>
    <w:p w14:paraId="72919726" w14:textId="77777777" w:rsidR="004D711E" w:rsidRPr="004D711E" w:rsidRDefault="004D711E" w:rsidP="004D711E">
      <w:pPr>
        <w:suppressAutoHyphens w:val="0"/>
        <w:spacing w:line="240" w:lineRule="auto"/>
        <w:jc w:val="both"/>
        <w:rPr>
          <w:rFonts w:ascii="Arial" w:eastAsia="Calibri" w:hAnsi="Arial" w:cs="Arial"/>
          <w:sz w:val="24"/>
          <w:szCs w:val="24"/>
        </w:rPr>
      </w:pPr>
    </w:p>
    <w:p w14:paraId="5660879C" w14:textId="77777777" w:rsidR="004D711E" w:rsidRPr="004D711E" w:rsidRDefault="004D711E" w:rsidP="004D711E">
      <w:pPr>
        <w:suppressAutoHyphens w:val="0"/>
        <w:spacing w:line="240" w:lineRule="auto"/>
        <w:jc w:val="both"/>
        <w:rPr>
          <w:rFonts w:ascii="Arial" w:eastAsia="Calibri" w:hAnsi="Arial" w:cs="Arial"/>
          <w:sz w:val="24"/>
          <w:szCs w:val="24"/>
        </w:rPr>
      </w:pPr>
    </w:p>
    <w:p w14:paraId="503F60C9"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w:t>
      </w:r>
      <w:r w:rsidRPr="00CD7B94">
        <w:rPr>
          <w:rFonts w:ascii="Arial" w:eastAsia="Calibri" w:hAnsi="Arial" w:cs="Arial"/>
          <w:sz w:val="24"/>
          <w:szCs w:val="24"/>
        </w:rPr>
        <w:t>pēc pieprasījuma</w:t>
      </w:r>
      <w:r>
        <w:rPr>
          <w:rFonts w:ascii="Arial" w:eastAsia="Calibri" w:hAnsi="Arial" w:cs="Arial"/>
          <w:sz w:val="24"/>
          <w:szCs w:val="24"/>
        </w:rPr>
        <w:t>.</w:t>
      </w:r>
    </w:p>
    <w:p w14:paraId="2A70D530" w14:textId="77777777" w:rsidR="004D711E" w:rsidRPr="004D711E" w:rsidRDefault="004D711E" w:rsidP="004D711E">
      <w:pPr>
        <w:suppressAutoHyphens w:val="0"/>
        <w:spacing w:line="240" w:lineRule="auto"/>
        <w:jc w:val="both"/>
        <w:rPr>
          <w:rFonts w:ascii="Arial" w:eastAsia="Calibri" w:hAnsi="Arial" w:cs="Arial"/>
          <w:sz w:val="24"/>
          <w:szCs w:val="24"/>
        </w:rPr>
      </w:pPr>
    </w:p>
    <w:p w14:paraId="45AF67EE" w14:textId="77777777" w:rsidR="004D711E" w:rsidRPr="004D711E" w:rsidRDefault="004D711E" w:rsidP="004D711E">
      <w:pPr>
        <w:suppressAutoHyphens w:val="0"/>
        <w:spacing w:line="240" w:lineRule="auto"/>
        <w:jc w:val="both"/>
        <w:rPr>
          <w:rFonts w:ascii="Arial" w:eastAsia="Calibri" w:hAnsi="Arial" w:cs="Arial"/>
          <w:sz w:val="24"/>
          <w:szCs w:val="24"/>
        </w:rPr>
      </w:pPr>
    </w:p>
    <w:p w14:paraId="7532F8F6"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sidRPr="004D711E">
        <w:rPr>
          <w:rFonts w:ascii="Arial" w:eastAsia="Calibri" w:hAnsi="Arial" w:cs="Arial"/>
          <w:sz w:val="24"/>
          <w:szCs w:val="24"/>
        </w:rPr>
        <w:t>Būvvaldes vadītājs Kaspars Dzenis</w:t>
      </w:r>
    </w:p>
    <w:p w14:paraId="3F85FDF6"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126CA54E"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6D0E5A21"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Lubiņa, 26180658</w:t>
      </w:r>
    </w:p>
    <w:p w14:paraId="5AA4980D"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jolanta.lubina@buvvalde.dkn.lv</w:t>
      </w:r>
    </w:p>
    <w:p w14:paraId="776A127F" w14:textId="77777777" w:rsidR="004D711E" w:rsidRPr="004D711E" w:rsidRDefault="004D711E" w:rsidP="004D711E">
      <w:pPr>
        <w:widowControl w:val="0"/>
        <w:tabs>
          <w:tab w:val="left" w:pos="4242"/>
        </w:tabs>
        <w:suppressAutoHyphens w:val="0"/>
        <w:spacing w:line="240" w:lineRule="auto"/>
        <w:jc w:val="both"/>
        <w:rPr>
          <w:rFonts w:ascii="Arial" w:eastAsia="Calibri" w:hAnsi="Arial" w:cs="Arial"/>
          <w:sz w:val="24"/>
          <w:szCs w:val="24"/>
        </w:rPr>
      </w:pPr>
    </w:p>
    <w:p w14:paraId="3B5481EE" w14:textId="77777777" w:rsidR="006B5CA9" w:rsidRPr="00E70C71" w:rsidRDefault="006B5CA9" w:rsidP="00EE0E2E">
      <w:pPr>
        <w:spacing w:line="240" w:lineRule="auto"/>
        <w:jc w:val="center"/>
        <w:rPr>
          <w:rFonts w:ascii="Arial" w:eastAsia="Calibri" w:hAnsi="Arial" w:cs="Arial"/>
          <w:bCs/>
          <w:sz w:val="28"/>
          <w:szCs w:val="28"/>
          <w:highlight w:val="lightGray"/>
        </w:rPr>
      </w:pPr>
    </w:p>
    <w:p w14:paraId="3409619A" w14:textId="77777777" w:rsidR="00831255" w:rsidRPr="00E70C71" w:rsidRDefault="00831255" w:rsidP="00EE0E2E">
      <w:pPr>
        <w:suppressAutoHyphens w:val="0"/>
        <w:spacing w:line="240" w:lineRule="auto"/>
        <w:jc w:val="center"/>
        <w:rPr>
          <w:rFonts w:ascii="Arial" w:eastAsia="Calibri" w:hAnsi="Arial" w:cs="Arial"/>
          <w:b/>
          <w:bCs/>
          <w:sz w:val="24"/>
          <w:szCs w:val="24"/>
        </w:rPr>
      </w:pPr>
    </w:p>
    <w:p w14:paraId="66F21820" w14:textId="77777777" w:rsidR="00831255" w:rsidRPr="00E70C71" w:rsidRDefault="00831255" w:rsidP="00831255">
      <w:pPr>
        <w:suppressAutoHyphens w:val="0"/>
        <w:jc w:val="center"/>
        <w:rPr>
          <w:rFonts w:ascii="Arial" w:eastAsia="Calibri" w:hAnsi="Arial" w:cs="Arial"/>
        </w:rPr>
      </w:pPr>
    </w:p>
    <w:p w14:paraId="709472E4" w14:textId="77777777" w:rsidR="00DD7D26" w:rsidRPr="00E70C71" w:rsidRDefault="00DD7D26" w:rsidP="00831255">
      <w:pPr>
        <w:suppressAutoHyphens w:val="0"/>
        <w:jc w:val="center"/>
        <w:rPr>
          <w:rFonts w:ascii="Arial" w:eastAsia="Calibri" w:hAnsi="Arial" w:cs="Arial"/>
        </w:rPr>
      </w:pPr>
    </w:p>
    <w:p w14:paraId="0A088AEB" w14:textId="77777777" w:rsidR="00DD7D26" w:rsidRPr="00E70C71" w:rsidRDefault="00DD7D26" w:rsidP="00831255">
      <w:pPr>
        <w:suppressAutoHyphens w:val="0"/>
        <w:jc w:val="center"/>
        <w:rPr>
          <w:rFonts w:ascii="Arial" w:eastAsia="Calibri" w:hAnsi="Arial" w:cs="Arial"/>
        </w:rPr>
      </w:pPr>
    </w:p>
    <w:p w14:paraId="04C6170B" w14:textId="77777777" w:rsidR="00DD7D26" w:rsidRPr="00E70C71" w:rsidRDefault="00DD7D26" w:rsidP="00831255">
      <w:pPr>
        <w:suppressAutoHyphens w:val="0"/>
        <w:jc w:val="center"/>
        <w:rPr>
          <w:rFonts w:ascii="Arial" w:eastAsia="Calibri" w:hAnsi="Arial" w:cs="Arial"/>
        </w:rPr>
      </w:pPr>
    </w:p>
    <w:p w14:paraId="3E6EA0EA" w14:textId="77777777" w:rsidR="00DD7D26" w:rsidRPr="00E70C71" w:rsidRDefault="00DD7D26" w:rsidP="00831255">
      <w:pPr>
        <w:suppressAutoHyphens w:val="0"/>
        <w:jc w:val="center"/>
        <w:rPr>
          <w:rFonts w:ascii="Arial" w:eastAsia="Calibri" w:hAnsi="Arial" w:cs="Arial"/>
        </w:rPr>
      </w:pPr>
    </w:p>
    <w:p w14:paraId="35201962" w14:textId="77777777" w:rsidR="00DD7D26" w:rsidRPr="00E70C71" w:rsidRDefault="00DD7D26" w:rsidP="00831255">
      <w:pPr>
        <w:suppressAutoHyphens w:val="0"/>
        <w:jc w:val="center"/>
        <w:rPr>
          <w:rFonts w:ascii="Arial" w:eastAsia="Calibri" w:hAnsi="Arial" w:cs="Arial"/>
        </w:rPr>
      </w:pPr>
    </w:p>
    <w:p w14:paraId="2B7A9F6B" w14:textId="77777777" w:rsidR="00DD7D26" w:rsidRPr="00E70C71" w:rsidRDefault="00DD7D26" w:rsidP="00831255">
      <w:pPr>
        <w:suppressAutoHyphens w:val="0"/>
        <w:jc w:val="center"/>
        <w:rPr>
          <w:rFonts w:ascii="Arial" w:eastAsia="Calibri" w:hAnsi="Arial" w:cs="Arial"/>
        </w:rPr>
      </w:pPr>
    </w:p>
    <w:p w14:paraId="1A42850B" w14:textId="77777777" w:rsidR="00DD7D26" w:rsidRPr="00E70C71" w:rsidRDefault="00DD7D26" w:rsidP="00831255">
      <w:pPr>
        <w:suppressAutoHyphens w:val="0"/>
        <w:jc w:val="center"/>
        <w:rPr>
          <w:rFonts w:ascii="Arial" w:eastAsia="Calibri" w:hAnsi="Arial" w:cs="Arial"/>
        </w:rPr>
      </w:pPr>
    </w:p>
    <w:p w14:paraId="04F6C12E" w14:textId="77777777" w:rsidR="00DD7D26" w:rsidRPr="00E70C71" w:rsidRDefault="00DD7D26" w:rsidP="00831255">
      <w:pPr>
        <w:suppressAutoHyphens w:val="0"/>
        <w:jc w:val="center"/>
        <w:rPr>
          <w:rFonts w:ascii="Arial" w:eastAsia="Calibri" w:hAnsi="Arial" w:cs="Arial"/>
        </w:rPr>
      </w:pPr>
    </w:p>
    <w:p w14:paraId="095DAE72" w14:textId="77777777" w:rsidR="00DD7D26" w:rsidRPr="00E70C71" w:rsidRDefault="00DD7D26" w:rsidP="00831255">
      <w:pPr>
        <w:suppressAutoHyphens w:val="0"/>
        <w:jc w:val="center"/>
        <w:rPr>
          <w:rFonts w:ascii="Arial" w:eastAsia="Calibri" w:hAnsi="Arial" w:cs="Arial"/>
        </w:rPr>
      </w:pPr>
    </w:p>
    <w:p w14:paraId="69FA0FBF"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2"/>
      <w:headerReference w:type="first" r:id="rId13"/>
      <w:footerReference w:type="first" r:id="rId14"/>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7918" w14:textId="77777777" w:rsidR="00284F76" w:rsidRDefault="00284F76">
      <w:pPr>
        <w:spacing w:line="240" w:lineRule="auto"/>
      </w:pPr>
      <w:r>
        <w:separator/>
      </w:r>
    </w:p>
  </w:endnote>
  <w:endnote w:type="continuationSeparator" w:id="0">
    <w:p w14:paraId="0C7EBD3F" w14:textId="77777777" w:rsidR="00284F76" w:rsidRDefault="00284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A3C9" w14:textId="77777777" w:rsidR="00BE3895"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E748"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D656" w14:textId="77777777" w:rsidR="00284F76" w:rsidRDefault="00284F76">
      <w:pPr>
        <w:spacing w:line="240" w:lineRule="auto"/>
      </w:pPr>
      <w:r>
        <w:separator/>
      </w:r>
    </w:p>
  </w:footnote>
  <w:footnote w:type="continuationSeparator" w:id="0">
    <w:p w14:paraId="0E0E5A8D" w14:textId="77777777" w:rsidR="00284F76" w:rsidRDefault="00284F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4A7E"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A25E799A">
      <w:start w:val="1"/>
      <w:numFmt w:val="bullet"/>
      <w:lvlText w:val=""/>
      <w:lvlJc w:val="left"/>
      <w:pPr>
        <w:ind w:left="1346" w:hanging="360"/>
      </w:pPr>
      <w:rPr>
        <w:rFonts w:ascii="Symbol" w:hAnsi="Symbol" w:hint="default"/>
      </w:rPr>
    </w:lvl>
    <w:lvl w:ilvl="1" w:tplc="7FEE50FC" w:tentative="1">
      <w:start w:val="1"/>
      <w:numFmt w:val="bullet"/>
      <w:lvlText w:val="o"/>
      <w:lvlJc w:val="left"/>
      <w:pPr>
        <w:ind w:left="2066" w:hanging="360"/>
      </w:pPr>
      <w:rPr>
        <w:rFonts w:ascii="Courier New" w:hAnsi="Courier New" w:cs="Courier New" w:hint="default"/>
      </w:rPr>
    </w:lvl>
    <w:lvl w:ilvl="2" w:tplc="3810505C" w:tentative="1">
      <w:start w:val="1"/>
      <w:numFmt w:val="bullet"/>
      <w:lvlText w:val=""/>
      <w:lvlJc w:val="left"/>
      <w:pPr>
        <w:ind w:left="2786" w:hanging="360"/>
      </w:pPr>
      <w:rPr>
        <w:rFonts w:ascii="Wingdings" w:hAnsi="Wingdings" w:hint="default"/>
      </w:rPr>
    </w:lvl>
    <w:lvl w:ilvl="3" w:tplc="70F4ADDC" w:tentative="1">
      <w:start w:val="1"/>
      <w:numFmt w:val="bullet"/>
      <w:lvlText w:val=""/>
      <w:lvlJc w:val="left"/>
      <w:pPr>
        <w:ind w:left="3506" w:hanging="360"/>
      </w:pPr>
      <w:rPr>
        <w:rFonts w:ascii="Symbol" w:hAnsi="Symbol" w:hint="default"/>
      </w:rPr>
    </w:lvl>
    <w:lvl w:ilvl="4" w:tplc="5C349728" w:tentative="1">
      <w:start w:val="1"/>
      <w:numFmt w:val="bullet"/>
      <w:lvlText w:val="o"/>
      <w:lvlJc w:val="left"/>
      <w:pPr>
        <w:ind w:left="4226" w:hanging="360"/>
      </w:pPr>
      <w:rPr>
        <w:rFonts w:ascii="Courier New" w:hAnsi="Courier New" w:cs="Courier New" w:hint="default"/>
      </w:rPr>
    </w:lvl>
    <w:lvl w:ilvl="5" w:tplc="83A6119E" w:tentative="1">
      <w:start w:val="1"/>
      <w:numFmt w:val="bullet"/>
      <w:lvlText w:val=""/>
      <w:lvlJc w:val="left"/>
      <w:pPr>
        <w:ind w:left="4946" w:hanging="360"/>
      </w:pPr>
      <w:rPr>
        <w:rFonts w:ascii="Wingdings" w:hAnsi="Wingdings" w:hint="default"/>
      </w:rPr>
    </w:lvl>
    <w:lvl w:ilvl="6" w:tplc="3342D9C4" w:tentative="1">
      <w:start w:val="1"/>
      <w:numFmt w:val="bullet"/>
      <w:lvlText w:val=""/>
      <w:lvlJc w:val="left"/>
      <w:pPr>
        <w:ind w:left="5666" w:hanging="360"/>
      </w:pPr>
      <w:rPr>
        <w:rFonts w:ascii="Symbol" w:hAnsi="Symbol" w:hint="default"/>
      </w:rPr>
    </w:lvl>
    <w:lvl w:ilvl="7" w:tplc="CAEA2532" w:tentative="1">
      <w:start w:val="1"/>
      <w:numFmt w:val="bullet"/>
      <w:lvlText w:val="o"/>
      <w:lvlJc w:val="left"/>
      <w:pPr>
        <w:ind w:left="6386" w:hanging="360"/>
      </w:pPr>
      <w:rPr>
        <w:rFonts w:ascii="Courier New" w:hAnsi="Courier New" w:cs="Courier New" w:hint="default"/>
      </w:rPr>
    </w:lvl>
    <w:lvl w:ilvl="8" w:tplc="61CAF360"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F968CA56">
      <w:start w:val="1"/>
      <w:numFmt w:val="upperRoman"/>
      <w:lvlText w:val="%1"/>
      <w:lvlJc w:val="left"/>
    </w:lvl>
    <w:lvl w:ilvl="1" w:tplc="BA9A2156">
      <w:numFmt w:val="decimal"/>
      <w:lvlText w:val=""/>
      <w:lvlJc w:val="left"/>
    </w:lvl>
    <w:lvl w:ilvl="2" w:tplc="49BE926A">
      <w:numFmt w:val="decimal"/>
      <w:lvlText w:val=""/>
      <w:lvlJc w:val="left"/>
    </w:lvl>
    <w:lvl w:ilvl="3" w:tplc="69127660">
      <w:numFmt w:val="decimal"/>
      <w:lvlText w:val=""/>
      <w:lvlJc w:val="left"/>
    </w:lvl>
    <w:lvl w:ilvl="4" w:tplc="C4128128">
      <w:numFmt w:val="decimal"/>
      <w:lvlText w:val=""/>
      <w:lvlJc w:val="left"/>
    </w:lvl>
    <w:lvl w:ilvl="5" w:tplc="83282DB2">
      <w:numFmt w:val="decimal"/>
      <w:lvlText w:val=""/>
      <w:lvlJc w:val="left"/>
    </w:lvl>
    <w:lvl w:ilvl="6" w:tplc="8618BFC0">
      <w:numFmt w:val="decimal"/>
      <w:lvlText w:val=""/>
      <w:lvlJc w:val="left"/>
    </w:lvl>
    <w:lvl w:ilvl="7" w:tplc="E428730C">
      <w:numFmt w:val="decimal"/>
      <w:lvlText w:val=""/>
      <w:lvlJc w:val="left"/>
    </w:lvl>
    <w:lvl w:ilvl="8" w:tplc="1ADA5CE8">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6F28F5"/>
    <w:multiLevelType w:val="hybridMultilevel"/>
    <w:tmpl w:val="E4F08210"/>
    <w:lvl w:ilvl="0" w:tplc="70FCD3BE">
      <w:start w:val="1"/>
      <w:numFmt w:val="decimal"/>
      <w:lvlText w:val="%1."/>
      <w:lvlJc w:val="left"/>
      <w:pPr>
        <w:ind w:left="720" w:hanging="360"/>
      </w:pPr>
    </w:lvl>
    <w:lvl w:ilvl="1" w:tplc="B50408A6" w:tentative="1">
      <w:start w:val="1"/>
      <w:numFmt w:val="lowerLetter"/>
      <w:lvlText w:val="%2."/>
      <w:lvlJc w:val="left"/>
      <w:pPr>
        <w:ind w:left="1440" w:hanging="360"/>
      </w:pPr>
    </w:lvl>
    <w:lvl w:ilvl="2" w:tplc="190AF222" w:tentative="1">
      <w:start w:val="1"/>
      <w:numFmt w:val="lowerRoman"/>
      <w:lvlText w:val="%3."/>
      <w:lvlJc w:val="right"/>
      <w:pPr>
        <w:ind w:left="2160" w:hanging="180"/>
      </w:pPr>
    </w:lvl>
    <w:lvl w:ilvl="3" w:tplc="CCC66434" w:tentative="1">
      <w:start w:val="1"/>
      <w:numFmt w:val="decimal"/>
      <w:lvlText w:val="%4."/>
      <w:lvlJc w:val="left"/>
      <w:pPr>
        <w:ind w:left="2880" w:hanging="360"/>
      </w:pPr>
    </w:lvl>
    <w:lvl w:ilvl="4" w:tplc="AE9E6882" w:tentative="1">
      <w:start w:val="1"/>
      <w:numFmt w:val="lowerLetter"/>
      <w:lvlText w:val="%5."/>
      <w:lvlJc w:val="left"/>
      <w:pPr>
        <w:ind w:left="3600" w:hanging="360"/>
      </w:pPr>
    </w:lvl>
    <w:lvl w:ilvl="5" w:tplc="B9F0A8C4" w:tentative="1">
      <w:start w:val="1"/>
      <w:numFmt w:val="lowerRoman"/>
      <w:lvlText w:val="%6."/>
      <w:lvlJc w:val="right"/>
      <w:pPr>
        <w:ind w:left="4320" w:hanging="180"/>
      </w:pPr>
    </w:lvl>
    <w:lvl w:ilvl="6" w:tplc="0A5491A4" w:tentative="1">
      <w:start w:val="1"/>
      <w:numFmt w:val="decimal"/>
      <w:lvlText w:val="%7."/>
      <w:lvlJc w:val="left"/>
      <w:pPr>
        <w:ind w:left="5040" w:hanging="360"/>
      </w:pPr>
    </w:lvl>
    <w:lvl w:ilvl="7" w:tplc="AB403C62" w:tentative="1">
      <w:start w:val="1"/>
      <w:numFmt w:val="lowerLetter"/>
      <w:lvlText w:val="%8."/>
      <w:lvlJc w:val="left"/>
      <w:pPr>
        <w:ind w:left="5760" w:hanging="360"/>
      </w:pPr>
    </w:lvl>
    <w:lvl w:ilvl="8" w:tplc="D55E30C6" w:tentative="1">
      <w:start w:val="1"/>
      <w:numFmt w:val="lowerRoman"/>
      <w:lvlText w:val="%9."/>
      <w:lvlJc w:val="right"/>
      <w:pPr>
        <w:ind w:left="6480" w:hanging="180"/>
      </w:pPr>
    </w:lvl>
  </w:abstractNum>
  <w:abstractNum w:abstractNumId="17"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5"/>
  </w:num>
  <w:num w:numId="3" w16cid:durableId="450519661">
    <w:abstractNumId w:val="1"/>
  </w:num>
  <w:num w:numId="4" w16cid:durableId="774056383">
    <w:abstractNumId w:val="11"/>
  </w:num>
  <w:num w:numId="5" w16cid:durableId="1243443354">
    <w:abstractNumId w:val="13"/>
  </w:num>
  <w:num w:numId="6" w16cid:durableId="1893418644">
    <w:abstractNumId w:val="7"/>
  </w:num>
  <w:num w:numId="7" w16cid:durableId="1211842019">
    <w:abstractNumId w:val="5"/>
  </w:num>
  <w:num w:numId="8" w16cid:durableId="790173532">
    <w:abstractNumId w:val="10"/>
  </w:num>
  <w:num w:numId="9" w16cid:durableId="796727434">
    <w:abstractNumId w:val="6"/>
  </w:num>
  <w:num w:numId="10" w16cid:durableId="17707635">
    <w:abstractNumId w:val="4"/>
  </w:num>
  <w:num w:numId="11" w16cid:durableId="2129858479">
    <w:abstractNumId w:val="8"/>
  </w:num>
  <w:num w:numId="12" w16cid:durableId="1759600056">
    <w:abstractNumId w:val="17"/>
  </w:num>
  <w:num w:numId="13" w16cid:durableId="1612201856">
    <w:abstractNumId w:val="9"/>
  </w:num>
  <w:num w:numId="14" w16cid:durableId="1370913735">
    <w:abstractNumId w:val="14"/>
  </w:num>
  <w:num w:numId="15" w16cid:durableId="1997372334">
    <w:abstractNumId w:val="12"/>
  </w:num>
  <w:num w:numId="16" w16cid:durableId="2047486483">
    <w:abstractNumId w:val="2"/>
  </w:num>
  <w:num w:numId="17" w16cid:durableId="1867596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4F76"/>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3527"/>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76F2C"/>
    <w:rsid w:val="00580FFC"/>
    <w:rsid w:val="00581C89"/>
    <w:rsid w:val="00582493"/>
    <w:rsid w:val="00584656"/>
    <w:rsid w:val="00584CCD"/>
    <w:rsid w:val="00590933"/>
    <w:rsid w:val="00590AA6"/>
    <w:rsid w:val="005913FB"/>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3B36"/>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7790E"/>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3895"/>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D7B94"/>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8FB1"/>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latvija.lv/geo/tapis?document=op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4696</Words>
  <Characters>2677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Ilze Elbere, Dienvidkurzemes novada Sabiedrisko attiecību daļa</cp:lastModifiedBy>
  <cp:revision>2</cp:revision>
  <cp:lastPrinted>2024-12-04T10:46:00Z</cp:lastPrinted>
  <dcterms:created xsi:type="dcterms:W3CDTF">2025-08-04T12:05:00Z</dcterms:created>
  <dcterms:modified xsi:type="dcterms:W3CDTF">2025-08-04T12:05:00Z</dcterms:modified>
  <dc:language>lv-LV</dc:language>
</cp:coreProperties>
</file>