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70B98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943701">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83AE0A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63632">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563632">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943701">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83B402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563632">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26180E">
        <w:rPr>
          <w:rFonts w:ascii="Arial" w:eastAsia="Times New Roman" w:hAnsi="Arial" w:cs="Arial"/>
          <w:b/>
          <w:noProof/>
          <w:color w:val="000000"/>
          <w:sz w:val="24"/>
          <w:szCs w:val="24"/>
          <w:lang w:eastAsia="ru-RU"/>
        </w:rPr>
        <w:t>1</w:t>
      </w:r>
      <w:r w:rsidR="00BB132B">
        <w:rPr>
          <w:rFonts w:ascii="Arial" w:eastAsia="Times New Roman" w:hAnsi="Arial" w:cs="Arial"/>
          <w:b/>
          <w:noProof/>
          <w:color w:val="000000"/>
          <w:sz w:val="24"/>
          <w:szCs w:val="24"/>
          <w:lang w:eastAsia="ru-RU"/>
        </w:rPr>
        <w:t>0</w:t>
      </w:r>
      <w:r w:rsidR="0026180E">
        <w:rPr>
          <w:rFonts w:ascii="Arial" w:eastAsia="Times New Roman" w:hAnsi="Arial" w:cs="Arial"/>
          <w:b/>
          <w:noProof/>
          <w:color w:val="000000"/>
          <w:sz w:val="24"/>
          <w:szCs w:val="24"/>
          <w:lang w:eastAsia="ru-RU"/>
        </w:rPr>
        <w:t>.</w:t>
      </w:r>
      <w:r w:rsidR="00986BD8">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FF5FAD3" w:rsidR="00ED7721" w:rsidRPr="003E4DED" w:rsidRDefault="00943701" w:rsidP="00ED7721">
      <w:pPr>
        <w:spacing w:after="0" w:line="240" w:lineRule="auto"/>
        <w:ind w:firstLine="720"/>
        <w:jc w:val="both"/>
        <w:rPr>
          <w:rFonts w:ascii="Arial" w:hAnsi="Arial" w:cs="Arial"/>
          <w:sz w:val="24"/>
          <w:szCs w:val="24"/>
        </w:rPr>
      </w:pPr>
      <w:r w:rsidRPr="00943701">
        <w:rPr>
          <w:rFonts w:ascii="Arial" w:eastAsia="Times New Roman" w:hAnsi="Arial" w:cs="Arial"/>
          <w:b/>
          <w:bCs/>
          <w:noProof/>
          <w:color w:val="000000"/>
          <w:sz w:val="24"/>
          <w:szCs w:val="24"/>
          <w:lang w:eastAsia="ru-RU"/>
        </w:rPr>
        <w:t xml:space="preserve">“Pie Klēts”, Kalētu pagasts, Dienvidkurzemes novads, kadastra Nr.6464 001 0029, </w:t>
      </w:r>
      <w:r w:rsidRPr="00943701">
        <w:rPr>
          <w:rFonts w:ascii="Arial" w:eastAsia="Times New Roman" w:hAnsi="Arial" w:cs="Arial"/>
          <w:noProof/>
          <w:color w:val="000000"/>
          <w:sz w:val="24"/>
          <w:szCs w:val="24"/>
          <w:lang w:eastAsia="ru-RU"/>
        </w:rPr>
        <w:t>reģistrēts Kurzemes rajona tiesas Kalētu pagasta zemesgrāmatas nodalījumā Nr.100000943190</w:t>
      </w:r>
      <w:r w:rsidR="00ED7721" w:rsidRPr="00B53AC6">
        <w:rPr>
          <w:rFonts w:ascii="Arial" w:hAnsi="Arial" w:cs="Arial"/>
          <w:sz w:val="24"/>
          <w:szCs w:val="24"/>
        </w:rPr>
        <w:t>.</w:t>
      </w:r>
    </w:p>
    <w:p w14:paraId="5B2D711F" w14:textId="77777777" w:rsidR="009D2273" w:rsidRPr="009D2273"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 xml:space="preserve">Īpašums sastāv no vienas zemes vienības ar kadastra apzīmējumu 6464 001 0102 0,8479 ha kopplatībā. Kadastra informācijas sistēmā zemes vienībai norādīta sekojoša eksplikācija: 0,8213 ha lauksaimniecībā izmantojama zeme, 0,0118 ha zem ūdens, 0,0148 ha zem ceļiem. </w:t>
      </w:r>
    </w:p>
    <w:p w14:paraId="7959946A" w14:textId="77777777" w:rsidR="009D2273" w:rsidRPr="009D2273"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 xml:space="preserve">Zemes vienība neatrodas kultūras pieminekļa teritorijā un neatrodas dabas lieguma teritorijā. </w:t>
      </w:r>
    </w:p>
    <w:p w14:paraId="7C9FA4C2" w14:textId="77777777" w:rsidR="009D2273" w:rsidRPr="009D2273"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Par zemes vienību nav noslēgts medību tiesību līgums.</w:t>
      </w:r>
    </w:p>
    <w:p w14:paraId="1380A93B" w14:textId="77777777" w:rsidR="009D2273" w:rsidRPr="009D2273"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Par zemes vienību 0,5 ha platībā noslēgts viens zemes nomas līgums ar termiņu līdz 30.09.2028.</w:t>
      </w:r>
    </w:p>
    <w:p w14:paraId="49E8EE8F" w14:textId="77777777" w:rsidR="009D2273" w:rsidRPr="009D2273"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Saskaņā ar Priekules novada teritorijas plānojumu 2015.-2026.gadam zemes vienība atrodas Lauksaimniecības teritorijas (L) teritorijā.</w:t>
      </w:r>
    </w:p>
    <w:p w14:paraId="0814D1A6" w14:textId="77777777" w:rsidR="009D2273" w:rsidRPr="009D2273"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 xml:space="preserve">Saskaņā ar 31.03.2025. Dienvidkurzemes novada Būvvaldes izsniegto Izziņu Nr.B/2025/1.7/6 “Par zemes vienības plānoto (atļauto) teritorijas izmantošanu” (Pielikums Nr.2), </w:t>
      </w:r>
      <w:r w:rsidRPr="009D2273">
        <w:rPr>
          <w:rFonts w:ascii="Arial" w:hAnsi="Arial" w:cs="Arial"/>
          <w:sz w:val="24"/>
          <w:szCs w:val="24"/>
          <w:u w:val="single"/>
        </w:rPr>
        <w:t>galvenie zemes izmantošanas veidi</w:t>
      </w:r>
      <w:r w:rsidRPr="009D2273">
        <w:rPr>
          <w:rFonts w:ascii="Arial" w:hAnsi="Arial" w:cs="Arial"/>
          <w:sz w:val="24"/>
          <w:szCs w:val="24"/>
        </w:rPr>
        <w:t xml:space="preserve">: viensētu apbūve (11004), lauksaimnieciskās ražošanas uzņēmumu apbūve (13003), lauksaimnieciska izmantošana (22001), labiekārtota ārtelpa (24001), ārtelpa bez labiekārtojuma (24002), ūdens telpas publiskā izmantošana (24003). </w:t>
      </w:r>
      <w:bookmarkStart w:id="0" w:name="_Hlk193979810"/>
      <w:r w:rsidRPr="009D2273">
        <w:rPr>
          <w:rFonts w:ascii="Arial" w:hAnsi="Arial" w:cs="Arial"/>
          <w:sz w:val="24"/>
          <w:szCs w:val="24"/>
        </w:rPr>
        <w:t xml:space="preserve">Atbilstoši 4.11.1.3. apakšnodaļai (no 246. līdz 267. punktam) šajās teritorijās ir atļauti šādi teritorijas </w:t>
      </w:r>
      <w:r w:rsidRPr="009D2273">
        <w:rPr>
          <w:rFonts w:ascii="Arial" w:hAnsi="Arial" w:cs="Arial"/>
          <w:sz w:val="24"/>
          <w:szCs w:val="24"/>
          <w:u w:val="single"/>
        </w:rPr>
        <w:t>papildizmantošanas veidi</w:t>
      </w:r>
      <w:r w:rsidRPr="009D2273">
        <w:rPr>
          <w:rFonts w:ascii="Arial" w:hAnsi="Arial" w:cs="Arial"/>
          <w:sz w:val="24"/>
          <w:szCs w:val="24"/>
        </w:rPr>
        <w:t xml:space="preserve">: </w:t>
      </w:r>
      <w:bookmarkEnd w:id="0"/>
      <w:r w:rsidRPr="009D2273">
        <w:rPr>
          <w:rFonts w:ascii="Arial" w:hAnsi="Arial" w:cs="Arial"/>
          <w:sz w:val="24"/>
          <w:szCs w:val="24"/>
        </w:rPr>
        <w:t xml:space="preserve">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w:t>
      </w:r>
      <w:r w:rsidRPr="009D2273">
        <w:rPr>
          <w:rFonts w:ascii="Arial" w:hAnsi="Arial" w:cs="Arial"/>
          <w:sz w:val="24"/>
          <w:szCs w:val="24"/>
        </w:rPr>
        <w:lastRenderedPageBreak/>
        <w:t>infrastruktūra (14003), noliktavu apbūve (14004), lidostu un ostu apbūve (14005), energoapgādes uzņēmumu apbūve (14006), mežsaimnieciska izmantošana (21001), ūdenssaimnieciska izmantošana (23001).</w:t>
      </w:r>
    </w:p>
    <w:p w14:paraId="1B8D0645" w14:textId="21BB7DC9" w:rsidR="008B5FD4" w:rsidRPr="00C1160A" w:rsidRDefault="009D2273" w:rsidP="009D2273">
      <w:pPr>
        <w:spacing w:after="0" w:line="240" w:lineRule="auto"/>
        <w:ind w:firstLine="720"/>
        <w:jc w:val="both"/>
        <w:rPr>
          <w:rFonts w:ascii="Arial" w:hAnsi="Arial" w:cs="Arial"/>
          <w:sz w:val="24"/>
          <w:szCs w:val="24"/>
        </w:rPr>
      </w:pPr>
      <w:r w:rsidRPr="009D2273">
        <w:rPr>
          <w:rFonts w:ascii="Arial" w:hAnsi="Arial" w:cs="Arial"/>
          <w:sz w:val="24"/>
          <w:szCs w:val="24"/>
        </w:rPr>
        <w:t>Būvvalde norāda, ka saskaņā ar Aizsargjoslu likumu zemes vienībā reģistrētie apgrūtinājumi un uz tiem attiecināmie aprobežojumi var ierobežot augstākminēto plānoto (atļauto) teritorijas izmantošanu. Ierobežojumus var radīt arī citi normatīvie akti, kuru prasības attiecināmas uz šo teritoriju un konkrēto attīstības ieceri</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637E4F7"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9D2273">
        <w:rPr>
          <w:rFonts w:ascii="Arial" w:eastAsia="Times New Roman" w:hAnsi="Arial" w:cs="Arial"/>
          <w:b/>
          <w:bCs/>
          <w:noProof/>
          <w:color w:val="000000"/>
          <w:sz w:val="24"/>
          <w:szCs w:val="24"/>
          <w:lang w:eastAsia="ru-RU"/>
        </w:rPr>
        <w:t>2700</w:t>
      </w:r>
      <w:r w:rsidR="009D2273" w:rsidRPr="003E4DED">
        <w:rPr>
          <w:rFonts w:ascii="Arial" w:eastAsia="Times New Roman" w:hAnsi="Arial" w:cs="Arial"/>
          <w:b/>
          <w:bCs/>
          <w:noProof/>
          <w:color w:val="000000"/>
          <w:sz w:val="24"/>
          <w:szCs w:val="24"/>
          <w:lang w:eastAsia="ru-RU"/>
        </w:rPr>
        <w:t xml:space="preserve"> EUR </w:t>
      </w:r>
      <w:r w:rsidR="009D2273" w:rsidRPr="003E4DED">
        <w:rPr>
          <w:rFonts w:ascii="Arial" w:eastAsia="Times New Roman" w:hAnsi="Arial" w:cs="Arial"/>
          <w:noProof/>
          <w:color w:val="000000"/>
          <w:sz w:val="24"/>
          <w:szCs w:val="24"/>
          <w:lang w:eastAsia="ru-RU"/>
        </w:rPr>
        <w:t>(</w:t>
      </w:r>
      <w:r w:rsidR="009D2273">
        <w:rPr>
          <w:rFonts w:ascii="Arial" w:eastAsia="Times New Roman" w:hAnsi="Arial" w:cs="Arial"/>
          <w:noProof/>
          <w:color w:val="000000"/>
          <w:sz w:val="24"/>
          <w:szCs w:val="24"/>
          <w:lang w:eastAsia="ru-RU"/>
        </w:rPr>
        <w:t>divi tūkstoši septiņi simti</w:t>
      </w:r>
      <w:r w:rsidR="009D2273" w:rsidRPr="003E4DED">
        <w:rPr>
          <w:rFonts w:ascii="Arial" w:eastAsia="Times New Roman" w:hAnsi="Arial" w:cs="Arial"/>
          <w:noProof/>
          <w:color w:val="000000"/>
          <w:sz w:val="24"/>
          <w:szCs w:val="24"/>
          <w:lang w:eastAsia="ru-RU"/>
        </w:rPr>
        <w:t xml:space="preserve"> </w:t>
      </w:r>
      <w:r w:rsidR="009D2273" w:rsidRPr="003E4DED">
        <w:rPr>
          <w:rFonts w:ascii="Arial" w:eastAsia="Times New Roman" w:hAnsi="Arial" w:cs="Arial"/>
          <w:i/>
          <w:iCs/>
          <w:noProof/>
          <w:color w:val="000000"/>
          <w:sz w:val="24"/>
          <w:szCs w:val="24"/>
          <w:lang w:eastAsia="ru-RU"/>
        </w:rPr>
        <w:t>euro</w:t>
      </w:r>
      <w:r w:rsidR="009D2273" w:rsidRPr="003E4DED">
        <w:rPr>
          <w:rFonts w:ascii="Arial" w:eastAsia="Times New Roman" w:hAnsi="Arial" w:cs="Arial"/>
          <w:noProof/>
          <w:color w:val="000000"/>
          <w:sz w:val="24"/>
          <w:szCs w:val="24"/>
          <w:lang w:eastAsia="ru-RU"/>
        </w:rPr>
        <w:t>)</w:t>
      </w:r>
    </w:p>
    <w:p w14:paraId="1FD55E59" w14:textId="6721D050"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563632">
        <w:rPr>
          <w:rFonts w:ascii="Arial" w:eastAsia="Times New Roman" w:hAnsi="Arial" w:cs="Arial"/>
          <w:b/>
          <w:bCs/>
          <w:iCs/>
          <w:noProof/>
          <w:color w:val="000000"/>
          <w:sz w:val="24"/>
          <w:szCs w:val="24"/>
          <w:lang w:eastAsia="ru-RU"/>
        </w:rPr>
        <w:t xml:space="preserve">100 EUR </w:t>
      </w:r>
      <w:r w:rsidR="007F573E" w:rsidRPr="00563632">
        <w:rPr>
          <w:rFonts w:ascii="Arial" w:eastAsia="Times New Roman" w:hAnsi="Arial" w:cs="Arial"/>
          <w:iCs/>
          <w:noProof/>
          <w:color w:val="000000"/>
          <w:sz w:val="24"/>
          <w:szCs w:val="24"/>
          <w:lang w:eastAsia="ru-RU"/>
        </w:rPr>
        <w:t xml:space="preserve">(viens simts </w:t>
      </w:r>
      <w:r w:rsidR="007F573E" w:rsidRPr="00563632">
        <w:rPr>
          <w:rFonts w:ascii="Arial" w:eastAsia="Times New Roman" w:hAnsi="Arial" w:cs="Arial"/>
          <w:i/>
          <w:iCs/>
          <w:noProof/>
          <w:color w:val="000000"/>
          <w:sz w:val="24"/>
          <w:szCs w:val="24"/>
          <w:lang w:eastAsia="ru-RU"/>
        </w:rPr>
        <w:t>euro</w:t>
      </w:r>
      <w:r w:rsidR="007F573E" w:rsidRPr="00563632">
        <w:rPr>
          <w:rFonts w:ascii="Arial" w:eastAsia="Times New Roman" w:hAnsi="Arial" w:cs="Arial"/>
          <w:iCs/>
          <w:noProof/>
          <w:color w:val="000000"/>
          <w:sz w:val="24"/>
          <w:szCs w:val="24"/>
          <w:lang w:eastAsia="ru-RU"/>
        </w:rPr>
        <w:t>)</w:t>
      </w:r>
    </w:p>
    <w:p w14:paraId="28700263" w14:textId="41EA79A4"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9D2273">
        <w:rPr>
          <w:rFonts w:ascii="Arial" w:eastAsia="Times New Roman" w:hAnsi="Arial" w:cs="Arial"/>
          <w:b/>
          <w:bCs/>
          <w:noProof/>
          <w:sz w:val="24"/>
          <w:szCs w:val="24"/>
          <w:lang w:eastAsia="ru-RU"/>
        </w:rPr>
        <w:t>270</w:t>
      </w:r>
      <w:r w:rsidR="009D2273" w:rsidRPr="00263CDC">
        <w:rPr>
          <w:rFonts w:ascii="Arial" w:eastAsia="Times New Roman" w:hAnsi="Arial" w:cs="Arial"/>
          <w:b/>
          <w:bCs/>
          <w:noProof/>
          <w:sz w:val="24"/>
          <w:szCs w:val="24"/>
          <w:lang w:eastAsia="ru-RU"/>
        </w:rPr>
        <w:t xml:space="preserve"> EUR</w:t>
      </w:r>
      <w:r w:rsidR="009D2273" w:rsidRPr="003E4DED">
        <w:rPr>
          <w:rFonts w:ascii="Arial" w:eastAsia="Times New Roman" w:hAnsi="Arial" w:cs="Arial"/>
          <w:noProof/>
          <w:sz w:val="24"/>
          <w:szCs w:val="24"/>
          <w:lang w:eastAsia="ru-RU"/>
        </w:rPr>
        <w:t xml:space="preserve"> (</w:t>
      </w:r>
      <w:r w:rsidR="009D2273">
        <w:rPr>
          <w:rFonts w:ascii="Arial" w:eastAsia="Times New Roman" w:hAnsi="Arial" w:cs="Arial"/>
          <w:noProof/>
          <w:sz w:val="24"/>
          <w:szCs w:val="24"/>
          <w:lang w:eastAsia="ru-RU"/>
        </w:rPr>
        <w:t>divi simti septiņdesmit</w:t>
      </w:r>
      <w:r w:rsidR="009D2273" w:rsidRPr="003E4DED">
        <w:rPr>
          <w:rFonts w:ascii="Arial" w:eastAsia="Times New Roman" w:hAnsi="Arial" w:cs="Arial"/>
          <w:noProof/>
          <w:sz w:val="24"/>
          <w:szCs w:val="24"/>
          <w:lang w:eastAsia="ru-RU"/>
        </w:rPr>
        <w:t xml:space="preserve"> </w:t>
      </w:r>
      <w:r w:rsidR="009D2273" w:rsidRPr="003936C9">
        <w:rPr>
          <w:rFonts w:ascii="Arial" w:eastAsia="Times New Roman" w:hAnsi="Arial" w:cs="Arial"/>
          <w:i/>
          <w:iCs/>
          <w:noProof/>
          <w:sz w:val="24"/>
          <w:szCs w:val="24"/>
          <w:lang w:eastAsia="ru-RU"/>
        </w:rPr>
        <w:t>euro</w:t>
      </w:r>
      <w:r w:rsidR="009D2273"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605862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D2273" w:rsidRPr="009D2273">
        <w:rPr>
          <w:rFonts w:ascii="Arial" w:eastAsia="Times New Roman" w:hAnsi="Arial" w:cs="Arial"/>
          <w:noProof/>
          <w:color w:val="000000"/>
          <w:sz w:val="24"/>
          <w:szCs w:val="24"/>
          <w:lang w:eastAsia="ru-RU"/>
        </w:rPr>
        <w:t>“Pie Klēts”,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E21660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563632">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w:t>
      </w:r>
      <w:r w:rsidRPr="00AE071F">
        <w:rPr>
          <w:rFonts w:ascii="Arial" w:eastAsia="Times New Roman" w:hAnsi="Arial" w:cs="Arial"/>
          <w:noProof/>
          <w:sz w:val="24"/>
          <w:szCs w:val="24"/>
          <w:lang w:eastAsia="ru-RU"/>
        </w:rPr>
        <w:lastRenderedPageBreak/>
        <w:t xml:space="preserve">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DB87AC8"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D2273" w:rsidRPr="009D2273">
        <w:rPr>
          <w:rFonts w:ascii="Arial" w:hAnsi="Arial" w:cs="Arial"/>
          <w:sz w:val="24"/>
          <w:szCs w:val="24"/>
        </w:rPr>
        <w:t>22443659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D2273">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w:t>
      </w:r>
      <w:r w:rsidRPr="006F2ECD">
        <w:rPr>
          <w:rFonts w:ascii="Arial" w:eastAsia="Times New Roman" w:hAnsi="Arial" w:cs="Arial"/>
          <w:noProof/>
          <w:sz w:val="24"/>
          <w:szCs w:val="24"/>
          <w:lang w:eastAsia="ru-RU"/>
        </w:rPr>
        <w:lastRenderedPageBreak/>
        <w:t xml:space="preserve">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lastRenderedPageBreak/>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6814B318" w:rsidR="00AA0AB8" w:rsidRDefault="008816F9" w:rsidP="00B954EC">
      <w:pPr>
        <w:spacing w:after="0" w:line="240" w:lineRule="auto"/>
        <w:rPr>
          <w:noProof/>
        </w:rPr>
      </w:pPr>
      <w:r>
        <w:rPr>
          <w:noProof/>
        </w:rPr>
        <w:drawing>
          <wp:inline distT="0" distB="0" distL="0" distR="0" wp14:anchorId="7D278EE9" wp14:editId="6E5CC7BF">
            <wp:extent cx="5274310" cy="3213735"/>
            <wp:effectExtent l="0" t="0" r="2540" b="5715"/>
            <wp:docPr id="10636531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53152" name=""/>
                    <pic:cNvPicPr/>
                  </pic:nvPicPr>
                  <pic:blipFill>
                    <a:blip r:embed="rId9"/>
                    <a:stretch>
                      <a:fillRect/>
                    </a:stretch>
                  </pic:blipFill>
                  <pic:spPr>
                    <a:xfrm>
                      <a:off x="0" y="0"/>
                      <a:ext cx="5274310" cy="3213735"/>
                    </a:xfrm>
                    <a:prstGeom prst="rect">
                      <a:avLst/>
                    </a:prstGeom>
                  </pic:spPr>
                </pic:pic>
              </a:graphicData>
            </a:graphic>
          </wp:inline>
        </w:drawing>
      </w:r>
    </w:p>
    <w:p w14:paraId="5D32CF93" w14:textId="77777777" w:rsidR="0035005B" w:rsidRDefault="0035005B" w:rsidP="00B954EC">
      <w:pPr>
        <w:spacing w:after="0" w:line="240" w:lineRule="auto"/>
        <w:rPr>
          <w:noProof/>
        </w:rPr>
      </w:pPr>
    </w:p>
    <w:p w14:paraId="1B0C931D" w14:textId="77777777" w:rsidR="0035005B" w:rsidRDefault="0035005B" w:rsidP="00B954EC">
      <w:pPr>
        <w:spacing w:after="0" w:line="240" w:lineRule="auto"/>
        <w:rPr>
          <w:noProof/>
        </w:rPr>
      </w:pPr>
    </w:p>
    <w:p w14:paraId="2DB18621" w14:textId="77777777" w:rsidR="0035005B" w:rsidRDefault="0035005B" w:rsidP="00B954EC">
      <w:pPr>
        <w:spacing w:after="0" w:line="240" w:lineRule="auto"/>
        <w:rPr>
          <w:noProof/>
        </w:rPr>
      </w:pPr>
    </w:p>
    <w:p w14:paraId="7D85FDA9" w14:textId="77777777" w:rsidR="0035005B" w:rsidRDefault="0035005B" w:rsidP="00B954EC">
      <w:pPr>
        <w:spacing w:after="0" w:line="240" w:lineRule="auto"/>
        <w:rPr>
          <w:noProof/>
        </w:rPr>
      </w:pPr>
    </w:p>
    <w:p w14:paraId="64E8B0B4" w14:textId="77777777" w:rsidR="0035005B" w:rsidRDefault="0035005B" w:rsidP="00B954EC">
      <w:pPr>
        <w:spacing w:after="0" w:line="240" w:lineRule="auto"/>
        <w:rPr>
          <w:noProof/>
        </w:rPr>
      </w:pPr>
    </w:p>
    <w:p w14:paraId="3AD9EE0F" w14:textId="77777777" w:rsidR="0035005B" w:rsidRDefault="0035005B" w:rsidP="00B954EC">
      <w:pPr>
        <w:spacing w:after="0" w:line="240" w:lineRule="auto"/>
        <w:rPr>
          <w:noProof/>
        </w:rPr>
      </w:pPr>
    </w:p>
    <w:p w14:paraId="55C06239" w14:textId="77777777" w:rsidR="0035005B" w:rsidRDefault="0035005B" w:rsidP="00B954EC">
      <w:pPr>
        <w:spacing w:after="0" w:line="240" w:lineRule="auto"/>
        <w:rPr>
          <w:noProof/>
        </w:rPr>
      </w:pPr>
    </w:p>
    <w:p w14:paraId="19C42B6C" w14:textId="77777777" w:rsidR="0035005B" w:rsidRDefault="0035005B" w:rsidP="00B954EC">
      <w:pPr>
        <w:spacing w:after="0" w:line="240" w:lineRule="auto"/>
        <w:rPr>
          <w:noProof/>
        </w:rPr>
      </w:pPr>
    </w:p>
    <w:p w14:paraId="626CCF7C" w14:textId="77777777" w:rsidR="0035005B" w:rsidRDefault="0035005B" w:rsidP="00B954EC">
      <w:pPr>
        <w:spacing w:after="0" w:line="240" w:lineRule="auto"/>
        <w:rPr>
          <w:noProof/>
        </w:rPr>
      </w:pPr>
    </w:p>
    <w:p w14:paraId="308ACC78" w14:textId="77777777" w:rsidR="0035005B" w:rsidRDefault="0035005B" w:rsidP="00B954EC">
      <w:pPr>
        <w:spacing w:after="0" w:line="240" w:lineRule="auto"/>
        <w:rPr>
          <w:noProof/>
        </w:rPr>
      </w:pPr>
    </w:p>
    <w:p w14:paraId="51C469A9" w14:textId="77777777" w:rsidR="0035005B" w:rsidRDefault="0035005B" w:rsidP="00B954EC">
      <w:pPr>
        <w:spacing w:after="0" w:line="240" w:lineRule="auto"/>
        <w:rPr>
          <w:noProof/>
        </w:rPr>
      </w:pPr>
    </w:p>
    <w:p w14:paraId="2F6EAD2F" w14:textId="77777777" w:rsidR="0035005B" w:rsidRDefault="0035005B" w:rsidP="00B954EC">
      <w:pPr>
        <w:spacing w:after="0" w:line="240" w:lineRule="auto"/>
        <w:rPr>
          <w:noProof/>
        </w:rPr>
      </w:pPr>
    </w:p>
    <w:p w14:paraId="6AA459E7" w14:textId="77777777" w:rsidR="0035005B" w:rsidRDefault="0035005B" w:rsidP="00B954EC">
      <w:pPr>
        <w:spacing w:after="0" w:line="240" w:lineRule="auto"/>
        <w:rPr>
          <w:noProof/>
        </w:rPr>
      </w:pPr>
    </w:p>
    <w:p w14:paraId="03714ADF" w14:textId="77777777" w:rsidR="0035005B" w:rsidRDefault="0035005B" w:rsidP="00B954EC">
      <w:pPr>
        <w:spacing w:after="0" w:line="240" w:lineRule="auto"/>
        <w:rPr>
          <w:noProof/>
        </w:rPr>
      </w:pPr>
    </w:p>
    <w:p w14:paraId="5F5CDEED" w14:textId="77777777" w:rsidR="0035005B" w:rsidRDefault="0035005B" w:rsidP="00B954EC">
      <w:pPr>
        <w:spacing w:after="0" w:line="240" w:lineRule="auto"/>
        <w:rPr>
          <w:noProof/>
        </w:rPr>
      </w:pPr>
    </w:p>
    <w:p w14:paraId="400CAA0F" w14:textId="77777777" w:rsidR="0035005B" w:rsidRDefault="0035005B" w:rsidP="00B954EC">
      <w:pPr>
        <w:spacing w:after="0" w:line="240" w:lineRule="auto"/>
        <w:rPr>
          <w:noProof/>
        </w:rPr>
      </w:pPr>
    </w:p>
    <w:p w14:paraId="287823A4" w14:textId="77777777" w:rsidR="0035005B" w:rsidRDefault="0035005B" w:rsidP="00B954EC">
      <w:pPr>
        <w:spacing w:after="0" w:line="240" w:lineRule="auto"/>
        <w:rPr>
          <w:noProof/>
        </w:rPr>
      </w:pPr>
    </w:p>
    <w:p w14:paraId="17DD9346" w14:textId="77777777" w:rsidR="0035005B" w:rsidRDefault="0035005B" w:rsidP="00B954EC">
      <w:pPr>
        <w:spacing w:after="0" w:line="240" w:lineRule="auto"/>
        <w:rPr>
          <w:noProof/>
        </w:rPr>
      </w:pPr>
    </w:p>
    <w:p w14:paraId="6615901A" w14:textId="77777777" w:rsidR="0035005B" w:rsidRDefault="0035005B" w:rsidP="00B954EC">
      <w:pPr>
        <w:spacing w:after="0" w:line="240" w:lineRule="auto"/>
        <w:rPr>
          <w:noProof/>
        </w:rPr>
      </w:pPr>
    </w:p>
    <w:p w14:paraId="72D006A2" w14:textId="77777777" w:rsidR="0035005B" w:rsidRDefault="0035005B" w:rsidP="00B954EC">
      <w:pPr>
        <w:spacing w:after="0" w:line="240" w:lineRule="auto"/>
        <w:rPr>
          <w:noProof/>
        </w:rPr>
      </w:pPr>
    </w:p>
    <w:p w14:paraId="2FF85919" w14:textId="77777777" w:rsidR="0035005B" w:rsidRDefault="0035005B" w:rsidP="00B954EC">
      <w:pPr>
        <w:spacing w:after="0" w:line="240" w:lineRule="auto"/>
        <w:rPr>
          <w:noProof/>
        </w:rPr>
      </w:pPr>
    </w:p>
    <w:p w14:paraId="502437CC" w14:textId="77777777" w:rsidR="0035005B" w:rsidRDefault="0035005B" w:rsidP="00B954EC">
      <w:pPr>
        <w:spacing w:after="0" w:line="240" w:lineRule="auto"/>
        <w:rPr>
          <w:noProof/>
        </w:rPr>
      </w:pPr>
    </w:p>
    <w:p w14:paraId="1C92F915" w14:textId="77777777" w:rsidR="0035005B" w:rsidRDefault="0035005B" w:rsidP="00B954EC">
      <w:pPr>
        <w:spacing w:after="0" w:line="240" w:lineRule="auto"/>
        <w:rPr>
          <w:noProof/>
        </w:rPr>
      </w:pPr>
    </w:p>
    <w:p w14:paraId="05766EA0" w14:textId="77777777" w:rsidR="0035005B" w:rsidRDefault="0035005B" w:rsidP="00B954EC">
      <w:pPr>
        <w:spacing w:after="0" w:line="240" w:lineRule="auto"/>
        <w:rPr>
          <w:noProof/>
        </w:rPr>
      </w:pPr>
    </w:p>
    <w:p w14:paraId="367C23EB" w14:textId="77777777" w:rsidR="0035005B" w:rsidRDefault="0035005B" w:rsidP="00B954EC">
      <w:pPr>
        <w:spacing w:after="0" w:line="240" w:lineRule="auto"/>
        <w:rPr>
          <w:noProof/>
        </w:rPr>
      </w:pPr>
    </w:p>
    <w:p w14:paraId="25549457" w14:textId="77777777" w:rsidR="0035005B" w:rsidRDefault="0035005B" w:rsidP="00B954EC">
      <w:pPr>
        <w:spacing w:after="0" w:line="240" w:lineRule="auto"/>
        <w:rPr>
          <w:noProof/>
        </w:rPr>
      </w:pPr>
    </w:p>
    <w:p w14:paraId="72B66DB4" w14:textId="77777777" w:rsidR="0035005B" w:rsidRDefault="0035005B" w:rsidP="00B954EC">
      <w:pPr>
        <w:spacing w:after="0" w:line="240" w:lineRule="auto"/>
        <w:rPr>
          <w:noProof/>
        </w:rPr>
      </w:pPr>
    </w:p>
    <w:p w14:paraId="77822359" w14:textId="77777777" w:rsidR="0035005B" w:rsidRDefault="0035005B" w:rsidP="00B954EC">
      <w:pPr>
        <w:spacing w:after="0" w:line="240" w:lineRule="auto"/>
        <w:rPr>
          <w:noProof/>
        </w:rPr>
      </w:pPr>
    </w:p>
    <w:p w14:paraId="623335D3" w14:textId="77777777" w:rsidR="0035005B" w:rsidRDefault="0035005B" w:rsidP="00B954EC">
      <w:pPr>
        <w:spacing w:after="0" w:line="240" w:lineRule="auto"/>
        <w:rPr>
          <w:noProof/>
        </w:rPr>
      </w:pPr>
    </w:p>
    <w:p w14:paraId="07A385FE" w14:textId="77777777" w:rsidR="0035005B" w:rsidRDefault="0035005B" w:rsidP="00B954EC">
      <w:pPr>
        <w:spacing w:after="0" w:line="240" w:lineRule="auto"/>
        <w:rPr>
          <w:noProof/>
        </w:rPr>
      </w:pPr>
    </w:p>
    <w:p w14:paraId="2952EC37" w14:textId="77777777" w:rsidR="008816F9" w:rsidRDefault="008816F9" w:rsidP="00B954EC">
      <w:pPr>
        <w:spacing w:after="0" w:line="240" w:lineRule="auto"/>
        <w:rPr>
          <w:noProof/>
        </w:rPr>
      </w:pPr>
    </w:p>
    <w:p w14:paraId="4F88E8A0" w14:textId="77777777" w:rsidR="008816F9" w:rsidRDefault="008816F9"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DAD22FA" w:rsidR="004F04D0" w:rsidRPr="004F04D0" w:rsidRDefault="009D2273" w:rsidP="004F04D0">
      <w:pPr>
        <w:spacing w:after="0" w:line="240" w:lineRule="auto"/>
        <w:jc w:val="right"/>
        <w:rPr>
          <w:rFonts w:ascii="Arial" w:eastAsia="Times New Roman" w:hAnsi="Arial" w:cs="Arial"/>
          <w:sz w:val="24"/>
          <w:szCs w:val="24"/>
          <w:lang w:eastAsia="lv-LV"/>
        </w:rPr>
      </w:pPr>
      <w:r w:rsidRPr="009D2273">
        <w:rPr>
          <w:rFonts w:ascii="Arial" w:eastAsia="Times New Roman" w:hAnsi="Arial" w:cs="Arial"/>
          <w:noProof/>
          <w:color w:val="000000"/>
          <w:sz w:val="24"/>
          <w:szCs w:val="24"/>
          <w:lang w:eastAsia="ru-RU"/>
        </w:rPr>
        <w:t>“Pie Klēts”, Kalētu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86628" w14:textId="77777777" w:rsidR="004E18F8" w:rsidRDefault="004E18F8" w:rsidP="00125179">
      <w:pPr>
        <w:spacing w:after="0" w:line="240" w:lineRule="auto"/>
      </w:pPr>
      <w:r>
        <w:separator/>
      </w:r>
    </w:p>
  </w:endnote>
  <w:endnote w:type="continuationSeparator" w:id="0">
    <w:p w14:paraId="21414931" w14:textId="77777777" w:rsidR="004E18F8" w:rsidRDefault="004E18F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6696" w14:textId="77777777" w:rsidR="004E18F8" w:rsidRDefault="004E18F8" w:rsidP="00125179">
      <w:pPr>
        <w:spacing w:after="0" w:line="240" w:lineRule="auto"/>
      </w:pPr>
      <w:r>
        <w:separator/>
      </w:r>
    </w:p>
  </w:footnote>
  <w:footnote w:type="continuationSeparator" w:id="0">
    <w:p w14:paraId="05526CE5" w14:textId="77777777" w:rsidR="004E18F8" w:rsidRDefault="004E18F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F0B06"/>
    <w:rsid w:val="003F64F1"/>
    <w:rsid w:val="00402F2A"/>
    <w:rsid w:val="00403E2E"/>
    <w:rsid w:val="00405669"/>
    <w:rsid w:val="004112FD"/>
    <w:rsid w:val="00412565"/>
    <w:rsid w:val="0041557F"/>
    <w:rsid w:val="00430BCC"/>
    <w:rsid w:val="00431158"/>
    <w:rsid w:val="004434CF"/>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E18F8"/>
    <w:rsid w:val="004F039C"/>
    <w:rsid w:val="004F04D0"/>
    <w:rsid w:val="004F6A38"/>
    <w:rsid w:val="00501646"/>
    <w:rsid w:val="005109DF"/>
    <w:rsid w:val="00523860"/>
    <w:rsid w:val="00525468"/>
    <w:rsid w:val="00531B4D"/>
    <w:rsid w:val="00537211"/>
    <w:rsid w:val="0054425A"/>
    <w:rsid w:val="00546256"/>
    <w:rsid w:val="005562D8"/>
    <w:rsid w:val="00563632"/>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60B09"/>
    <w:rsid w:val="0097119E"/>
    <w:rsid w:val="00971B44"/>
    <w:rsid w:val="00974D82"/>
    <w:rsid w:val="00982683"/>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10538</Words>
  <Characters>6008</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2025-12-10T09:15:00Z</dcterms:created>
  <dcterms:modified xsi:type="dcterms:W3CDTF">2025-12-16T08:34:00Z</dcterms:modified>
</cp:coreProperties>
</file>