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1530" w14:textId="77777777" w:rsidR="0050618B" w:rsidRPr="002E77DC" w:rsidRDefault="00186179" w:rsidP="0050618B">
      <w:pPr>
        <w:jc w:val="right"/>
        <w:rPr>
          <w:sz w:val="22"/>
          <w:szCs w:val="22"/>
        </w:rPr>
      </w:pPr>
      <w:r w:rsidRPr="002E77DC">
        <w:rPr>
          <w:sz w:val="22"/>
          <w:szCs w:val="22"/>
        </w:rPr>
        <w:t>P</w:t>
      </w:r>
      <w:r w:rsidR="0050618B" w:rsidRPr="002E77DC">
        <w:rPr>
          <w:sz w:val="22"/>
          <w:szCs w:val="22"/>
        </w:rPr>
        <w:t>ielikums</w:t>
      </w:r>
    </w:p>
    <w:p w14:paraId="52E11531" w14:textId="26D495BF" w:rsidR="00B432D2" w:rsidRPr="002E77DC" w:rsidRDefault="002E77DC" w:rsidP="0050618B">
      <w:pPr>
        <w:jc w:val="right"/>
        <w:rPr>
          <w:sz w:val="22"/>
          <w:szCs w:val="22"/>
        </w:rPr>
      </w:pPr>
      <w:r w:rsidRPr="002E77DC">
        <w:rPr>
          <w:sz w:val="22"/>
          <w:szCs w:val="22"/>
        </w:rPr>
        <w:t xml:space="preserve">Dienvidkurzemes novada pašvaldības domes </w:t>
      </w:r>
      <w:r w:rsidR="00B432D2" w:rsidRPr="002E77DC">
        <w:rPr>
          <w:sz w:val="22"/>
          <w:szCs w:val="22"/>
        </w:rPr>
        <w:t xml:space="preserve"> 20</w:t>
      </w:r>
      <w:r w:rsidR="007B49D8" w:rsidRPr="002E77DC">
        <w:rPr>
          <w:sz w:val="22"/>
          <w:szCs w:val="22"/>
        </w:rPr>
        <w:t>2</w:t>
      </w:r>
      <w:r w:rsidR="00BD70E4">
        <w:rPr>
          <w:sz w:val="22"/>
          <w:szCs w:val="22"/>
        </w:rPr>
        <w:t>6</w:t>
      </w:r>
      <w:r w:rsidR="00B432D2" w:rsidRPr="002E77DC">
        <w:rPr>
          <w:sz w:val="22"/>
          <w:szCs w:val="22"/>
        </w:rPr>
        <w:t>.gada</w:t>
      </w:r>
      <w:r w:rsidR="00390565">
        <w:rPr>
          <w:sz w:val="22"/>
          <w:szCs w:val="22"/>
        </w:rPr>
        <w:t xml:space="preserve"> ..</w:t>
      </w:r>
      <w:r w:rsidR="008130C8">
        <w:rPr>
          <w:sz w:val="22"/>
          <w:szCs w:val="22"/>
        </w:rPr>
        <w:t>.februāra</w:t>
      </w:r>
      <w:r w:rsidRPr="002E77DC">
        <w:rPr>
          <w:sz w:val="22"/>
          <w:szCs w:val="22"/>
        </w:rPr>
        <w:t xml:space="preserve"> </w:t>
      </w:r>
      <w:r w:rsidR="00B432D2" w:rsidRPr="002E77DC">
        <w:rPr>
          <w:sz w:val="22"/>
          <w:szCs w:val="22"/>
        </w:rPr>
        <w:t xml:space="preserve"> </w:t>
      </w:r>
      <w:r w:rsidR="00FA5495" w:rsidRPr="002E77DC">
        <w:rPr>
          <w:sz w:val="22"/>
          <w:szCs w:val="22"/>
        </w:rPr>
        <w:t>sēdes</w:t>
      </w:r>
    </w:p>
    <w:p w14:paraId="52E11532" w14:textId="77777777" w:rsidR="0050618B" w:rsidRPr="002E77DC" w:rsidRDefault="0050618B" w:rsidP="0050618B">
      <w:pPr>
        <w:jc w:val="right"/>
        <w:rPr>
          <w:sz w:val="22"/>
          <w:szCs w:val="22"/>
        </w:rPr>
      </w:pPr>
      <w:r w:rsidRPr="002E77DC">
        <w:rPr>
          <w:sz w:val="22"/>
          <w:szCs w:val="22"/>
        </w:rPr>
        <w:t>saistošiem noteikumiem Nr</w:t>
      </w:r>
      <w:r w:rsidR="002E77DC" w:rsidRPr="002E77DC">
        <w:rPr>
          <w:sz w:val="22"/>
          <w:szCs w:val="22"/>
        </w:rPr>
        <w:t>….</w:t>
      </w:r>
    </w:p>
    <w:p w14:paraId="52E11533" w14:textId="77777777" w:rsidR="0076538F" w:rsidRPr="002E77DC" w:rsidRDefault="0076538F" w:rsidP="0050618B">
      <w:pPr>
        <w:jc w:val="right"/>
        <w:rPr>
          <w:sz w:val="22"/>
          <w:szCs w:val="22"/>
        </w:rPr>
      </w:pPr>
    </w:p>
    <w:p w14:paraId="52E11534" w14:textId="77777777" w:rsidR="0050618B" w:rsidRPr="002E77DC" w:rsidRDefault="0050618B" w:rsidP="002824EC">
      <w:pPr>
        <w:jc w:val="center"/>
        <w:rPr>
          <w:b/>
          <w:sz w:val="28"/>
          <w:szCs w:val="28"/>
        </w:rPr>
      </w:pPr>
    </w:p>
    <w:p w14:paraId="52E11535" w14:textId="77777777" w:rsidR="003B089B" w:rsidRPr="002E77DC" w:rsidRDefault="003B089B" w:rsidP="003B089B">
      <w:pPr>
        <w:jc w:val="center"/>
        <w:rPr>
          <w:b/>
          <w:sz w:val="28"/>
          <w:szCs w:val="28"/>
        </w:rPr>
      </w:pPr>
      <w:bookmarkStart w:id="0" w:name="_Hlk189810534"/>
      <w:r w:rsidRPr="002E77DC">
        <w:rPr>
          <w:b/>
          <w:sz w:val="28"/>
          <w:szCs w:val="28"/>
        </w:rPr>
        <w:t xml:space="preserve">Paskaidrojuma raksts </w:t>
      </w:r>
    </w:p>
    <w:p w14:paraId="1542925A" w14:textId="3DA48ED5" w:rsidR="008257E2" w:rsidRPr="002E77DC" w:rsidRDefault="003B089B" w:rsidP="003B089B">
      <w:pPr>
        <w:jc w:val="center"/>
        <w:rPr>
          <w:b/>
          <w:sz w:val="28"/>
          <w:szCs w:val="28"/>
        </w:rPr>
      </w:pPr>
      <w:r w:rsidRPr="002E77DC">
        <w:rPr>
          <w:b/>
          <w:sz w:val="28"/>
          <w:szCs w:val="28"/>
        </w:rPr>
        <w:t xml:space="preserve">par  </w:t>
      </w:r>
      <w:r w:rsidR="002E77DC" w:rsidRPr="002E77DC">
        <w:rPr>
          <w:b/>
          <w:sz w:val="28"/>
          <w:szCs w:val="28"/>
        </w:rPr>
        <w:t xml:space="preserve">Dienvidkurzemes novada pašvaldības </w:t>
      </w:r>
      <w:r w:rsidR="003732D5">
        <w:rPr>
          <w:b/>
          <w:sz w:val="28"/>
          <w:szCs w:val="28"/>
        </w:rPr>
        <w:t xml:space="preserve">budžetu </w:t>
      </w:r>
      <w:r w:rsidR="002C7EA0" w:rsidRPr="002C7EA0">
        <w:rPr>
          <w:b/>
          <w:sz w:val="28"/>
          <w:szCs w:val="28"/>
        </w:rPr>
        <w:t>2026. gada</w:t>
      </w:r>
      <w:r w:rsidR="003732D5">
        <w:rPr>
          <w:b/>
          <w:sz w:val="28"/>
          <w:szCs w:val="28"/>
        </w:rPr>
        <w:t>m</w:t>
      </w:r>
      <w:r w:rsidR="002C7EA0" w:rsidRPr="002C7EA0">
        <w:rPr>
          <w:b/>
          <w:sz w:val="28"/>
          <w:szCs w:val="28"/>
        </w:rPr>
        <w:t xml:space="preserve"> </w:t>
      </w:r>
    </w:p>
    <w:p w14:paraId="52E11537" w14:textId="77777777" w:rsidR="008423EB" w:rsidRPr="002E77DC" w:rsidRDefault="008423EB" w:rsidP="003B089B">
      <w:pPr>
        <w:jc w:val="center"/>
      </w:pPr>
    </w:p>
    <w:p w14:paraId="52E11538" w14:textId="77777777" w:rsidR="003E6FEE" w:rsidRDefault="003E6FEE" w:rsidP="0086610F">
      <w:pPr>
        <w:autoSpaceDE w:val="0"/>
        <w:autoSpaceDN w:val="0"/>
        <w:adjustRightInd w:val="0"/>
        <w:spacing w:after="120" w:line="276" w:lineRule="auto"/>
        <w:ind w:firstLine="567"/>
        <w:jc w:val="center"/>
        <w:rPr>
          <w:rFonts w:eastAsia="Calibri"/>
          <w:b/>
        </w:rPr>
      </w:pPr>
      <w:r w:rsidRPr="002E77DC">
        <w:rPr>
          <w:rFonts w:eastAsia="Calibri"/>
          <w:b/>
        </w:rPr>
        <w:t>Novada ekonomiskā un sociālā situācija</w:t>
      </w:r>
    </w:p>
    <w:bookmarkEnd w:id="0"/>
    <w:p w14:paraId="1CB6866B" w14:textId="437F0307" w:rsidR="006E210F" w:rsidRPr="000817A1" w:rsidRDefault="006E210F" w:rsidP="006E210F">
      <w:pPr>
        <w:spacing w:line="360" w:lineRule="auto"/>
        <w:ind w:firstLine="567"/>
        <w:jc w:val="both"/>
        <w:rPr>
          <w:rFonts w:eastAsia="Calibri"/>
        </w:rPr>
      </w:pPr>
      <w:r w:rsidRPr="000817A1">
        <w:rPr>
          <w:rFonts w:eastAsia="Calibri"/>
        </w:rPr>
        <w:t>Dienvidkurzemes novada pašvaldība atrodas Kurzemes dienvidrietumos un tās teritorijas kopplatība ir 3591 kvadrātkilometri.</w:t>
      </w:r>
      <w:r w:rsidR="00F74085">
        <w:rPr>
          <w:rFonts w:eastAsia="Calibri"/>
        </w:rPr>
        <w:t xml:space="preserve"> Īsteno</w:t>
      </w:r>
      <w:r w:rsidRPr="000817A1">
        <w:rPr>
          <w:rFonts w:eastAsia="Calibri"/>
        </w:rPr>
        <w:t>jot administratīvi teritoriālo reformu</w:t>
      </w:r>
      <w:r w:rsidR="003747B9">
        <w:rPr>
          <w:rFonts w:eastAsia="Calibri"/>
        </w:rPr>
        <w:t xml:space="preserve">, </w:t>
      </w:r>
      <w:r w:rsidRPr="000817A1">
        <w:rPr>
          <w:rFonts w:eastAsia="Calibri"/>
        </w:rPr>
        <w:t>Dienvidkurzemes novadā apvienoti bijušie Aizputes, Durbes, Grobiņas, Nīcas, Pāvilostas, Priekules, Rucavas un Vaiņodes novadi.  Novada teritorijā, kas atrodas tuvāk valstspilsētai Liepājai un Baltijas jūras krastam, intensīvāk attīstās uzņēmējdarbība un dzīvojamais sektors. 202</w:t>
      </w:r>
      <w:r w:rsidR="0096785D">
        <w:rPr>
          <w:rFonts w:eastAsia="Calibri"/>
        </w:rPr>
        <w:t>6</w:t>
      </w:r>
      <w:r w:rsidRPr="000817A1">
        <w:rPr>
          <w:rFonts w:eastAsia="Calibri"/>
        </w:rPr>
        <w:t>.</w:t>
      </w:r>
      <w:r w:rsidR="00DB4FF4">
        <w:rPr>
          <w:rFonts w:eastAsia="Calibri"/>
        </w:rPr>
        <w:t xml:space="preserve"> </w:t>
      </w:r>
      <w:r w:rsidRPr="000817A1">
        <w:rPr>
          <w:rFonts w:eastAsia="Calibri"/>
        </w:rPr>
        <w:t xml:space="preserve">gada budžeta plāns ir sagatavots, </w:t>
      </w:r>
      <w:r w:rsidRPr="00036299">
        <w:rPr>
          <w:rFonts w:eastAsia="Calibri"/>
        </w:rPr>
        <w:t>domājot par novada teritorijas attīstību, saglabājot esošo infrastruktūru</w:t>
      </w:r>
      <w:r w:rsidR="00DB4FF4" w:rsidRPr="00036299">
        <w:rPr>
          <w:rFonts w:eastAsia="Calibri"/>
        </w:rPr>
        <w:t xml:space="preserve"> </w:t>
      </w:r>
      <w:r w:rsidRPr="00036299">
        <w:rPr>
          <w:rFonts w:eastAsia="Calibri"/>
        </w:rPr>
        <w:t>un</w:t>
      </w:r>
      <w:r w:rsidR="00DB4FF4" w:rsidRPr="00036299">
        <w:rPr>
          <w:rFonts w:eastAsia="Calibri"/>
        </w:rPr>
        <w:t xml:space="preserve"> </w:t>
      </w:r>
      <w:r w:rsidRPr="00036299">
        <w:rPr>
          <w:rFonts w:eastAsia="Calibri"/>
        </w:rPr>
        <w:t>plānojot novada attīstību.</w:t>
      </w:r>
      <w:r w:rsidRPr="000817A1">
        <w:rPr>
          <w:rFonts w:eastAsia="Calibri"/>
        </w:rPr>
        <w:t xml:space="preserve"> </w:t>
      </w:r>
    </w:p>
    <w:p w14:paraId="214F6E3F" w14:textId="05E7F5D8" w:rsidR="006E210F" w:rsidRPr="000817A1" w:rsidRDefault="006E210F" w:rsidP="006E210F">
      <w:pPr>
        <w:autoSpaceDE w:val="0"/>
        <w:autoSpaceDN w:val="0"/>
        <w:adjustRightInd w:val="0"/>
        <w:spacing w:after="120" w:line="360" w:lineRule="auto"/>
        <w:ind w:firstLine="567"/>
        <w:jc w:val="both"/>
        <w:rPr>
          <w:rFonts w:eastAsia="Calibri"/>
        </w:rPr>
      </w:pPr>
      <w:r w:rsidRPr="000817A1">
        <w:rPr>
          <w:rFonts w:eastAsia="Calibri"/>
        </w:rPr>
        <w:t>Dienvidkurzemes novada pašvaldīb</w:t>
      </w:r>
      <w:r w:rsidR="008B1004">
        <w:rPr>
          <w:rFonts w:eastAsia="Calibri"/>
        </w:rPr>
        <w:t>ā</w:t>
      </w:r>
      <w:r w:rsidRPr="000817A1">
        <w:rPr>
          <w:rFonts w:eastAsia="Calibri"/>
        </w:rPr>
        <w:t xml:space="preserve"> 202</w:t>
      </w:r>
      <w:r w:rsidR="00C01DAD">
        <w:rPr>
          <w:rFonts w:eastAsia="Calibri"/>
        </w:rPr>
        <w:t>6</w:t>
      </w:r>
      <w:r w:rsidRPr="000817A1">
        <w:rPr>
          <w:rFonts w:eastAsia="Calibri"/>
        </w:rPr>
        <w:t>.</w:t>
      </w:r>
      <w:r w:rsidR="008B1004">
        <w:rPr>
          <w:rFonts w:eastAsia="Calibri"/>
        </w:rPr>
        <w:t xml:space="preserve"> </w:t>
      </w:r>
      <w:r w:rsidRPr="000817A1">
        <w:rPr>
          <w:rFonts w:eastAsia="Calibri"/>
        </w:rPr>
        <w:t>gada</w:t>
      </w:r>
      <w:r w:rsidR="008B1004">
        <w:rPr>
          <w:rFonts w:eastAsia="Calibri"/>
        </w:rPr>
        <w:t xml:space="preserve"> </w:t>
      </w:r>
      <w:r w:rsidRPr="000817A1">
        <w:rPr>
          <w:rFonts w:eastAsia="Calibri"/>
        </w:rPr>
        <w:t>1.</w:t>
      </w:r>
      <w:r w:rsidR="008B1004">
        <w:rPr>
          <w:rFonts w:eastAsia="Calibri"/>
        </w:rPr>
        <w:t xml:space="preserve"> </w:t>
      </w:r>
      <w:r w:rsidRPr="000817A1">
        <w:rPr>
          <w:rFonts w:eastAsia="Calibri"/>
        </w:rPr>
        <w:t>janvār</w:t>
      </w:r>
      <w:r w:rsidR="008B1004">
        <w:rPr>
          <w:rFonts w:eastAsia="Calibri"/>
        </w:rPr>
        <w:t>ī</w:t>
      </w:r>
      <w:r w:rsidRPr="000817A1">
        <w:rPr>
          <w:rFonts w:eastAsia="Calibri"/>
        </w:rPr>
        <w:t xml:space="preserve"> ir</w:t>
      </w:r>
      <w:r>
        <w:rPr>
          <w:rFonts w:eastAsia="Calibri"/>
        </w:rPr>
        <w:t xml:space="preserve"> deklarēti</w:t>
      </w:r>
      <w:r w:rsidR="00616411">
        <w:rPr>
          <w:rFonts w:eastAsia="Calibri"/>
        </w:rPr>
        <w:t xml:space="preserve"> </w:t>
      </w:r>
      <w:r w:rsidRPr="00EC65A5">
        <w:rPr>
          <w:rFonts w:eastAsia="Calibri"/>
        </w:rPr>
        <w:t>33</w:t>
      </w:r>
      <w:r>
        <w:rPr>
          <w:rFonts w:eastAsia="Calibri"/>
        </w:rPr>
        <w:t xml:space="preserve"> </w:t>
      </w:r>
      <w:r w:rsidR="00804EA1">
        <w:rPr>
          <w:rFonts w:eastAsia="Calibri"/>
        </w:rPr>
        <w:t>310</w:t>
      </w:r>
      <w:r w:rsidRPr="000817A1">
        <w:rPr>
          <w:rFonts w:eastAsia="Calibri"/>
        </w:rPr>
        <w:t xml:space="preserve"> iedzīvotāji</w:t>
      </w:r>
      <w:r w:rsidR="00804EA1">
        <w:rPr>
          <w:rFonts w:eastAsia="Calibri"/>
        </w:rPr>
        <w:t>, kas salīdzinot gadu iepriek</w:t>
      </w:r>
      <w:r w:rsidR="002A5D26">
        <w:rPr>
          <w:rFonts w:eastAsia="Calibri"/>
        </w:rPr>
        <w:t xml:space="preserve">šējā </w:t>
      </w:r>
      <w:r w:rsidR="00B6223E">
        <w:rPr>
          <w:rFonts w:eastAsia="Calibri"/>
        </w:rPr>
        <w:t xml:space="preserve">gadu skaitu </w:t>
      </w:r>
      <w:r w:rsidR="00804EA1">
        <w:rPr>
          <w:rFonts w:eastAsia="Calibri"/>
        </w:rPr>
        <w:t xml:space="preserve"> sa</w:t>
      </w:r>
      <w:r w:rsidR="00343C4B">
        <w:rPr>
          <w:rFonts w:eastAsia="Calibri"/>
        </w:rPr>
        <w:t>ma</w:t>
      </w:r>
      <w:r w:rsidR="00804EA1">
        <w:rPr>
          <w:rFonts w:eastAsia="Calibri"/>
        </w:rPr>
        <w:t>z</w:t>
      </w:r>
      <w:r w:rsidR="007A6AE3">
        <w:rPr>
          <w:rFonts w:eastAsia="Calibri"/>
        </w:rPr>
        <w:t>i</w:t>
      </w:r>
      <w:r w:rsidR="00804EA1">
        <w:rPr>
          <w:rFonts w:eastAsia="Calibri"/>
        </w:rPr>
        <w:t xml:space="preserve">nājies par </w:t>
      </w:r>
      <w:r w:rsidR="00395923">
        <w:rPr>
          <w:rFonts w:eastAsia="Calibri"/>
        </w:rPr>
        <w:t>689</w:t>
      </w:r>
      <w:r w:rsidR="002A5D26">
        <w:rPr>
          <w:rFonts w:eastAsia="Calibri"/>
        </w:rPr>
        <w:t xml:space="preserve"> jeb 2%.</w:t>
      </w:r>
    </w:p>
    <w:p w14:paraId="7F452346" w14:textId="499A9588" w:rsidR="006E210F" w:rsidRPr="000817A1" w:rsidRDefault="006E210F" w:rsidP="006E210F">
      <w:pPr>
        <w:autoSpaceDE w:val="0"/>
        <w:autoSpaceDN w:val="0"/>
        <w:adjustRightInd w:val="0"/>
        <w:spacing w:after="120" w:line="360" w:lineRule="auto"/>
        <w:ind w:firstLine="567"/>
        <w:jc w:val="both"/>
        <w:rPr>
          <w:rFonts w:eastAsia="Calibri"/>
        </w:rPr>
      </w:pPr>
      <w:r w:rsidRPr="000817A1">
        <w:rPr>
          <w:rFonts w:eastAsia="Calibri"/>
        </w:rPr>
        <w:t>Pašvaldības</w:t>
      </w:r>
      <w:r w:rsidR="00B00D51">
        <w:rPr>
          <w:rFonts w:eastAsia="Calibri"/>
        </w:rPr>
        <w:t xml:space="preserve"> </w:t>
      </w:r>
      <w:r w:rsidRPr="000817A1">
        <w:rPr>
          <w:rFonts w:eastAsia="Calibri"/>
        </w:rPr>
        <w:t>darbības finansiālo pamatu veido budžets,</w:t>
      </w:r>
      <w:r w:rsidR="00B00D51">
        <w:rPr>
          <w:rFonts w:eastAsia="Calibri"/>
        </w:rPr>
        <w:t xml:space="preserve"> </w:t>
      </w:r>
      <w:r w:rsidRPr="000817A1">
        <w:rPr>
          <w:rFonts w:eastAsia="Calibri"/>
        </w:rPr>
        <w:t>kas ir svarīgākais instruments pašvaldības autonomo funkciju izpildes nodrošināšanai, ekonomisko un sociālo vajadzību sabalansēšanai, kā arī teritorijas ilgtermiņa attīstībai.</w:t>
      </w:r>
    </w:p>
    <w:p w14:paraId="1A674412" w14:textId="589DE504" w:rsidR="006E210F" w:rsidRPr="000817A1" w:rsidRDefault="006E210F" w:rsidP="006E210F">
      <w:pPr>
        <w:autoSpaceDE w:val="0"/>
        <w:autoSpaceDN w:val="0"/>
        <w:adjustRightInd w:val="0"/>
        <w:spacing w:after="120" w:line="360" w:lineRule="auto"/>
        <w:ind w:firstLine="567"/>
        <w:jc w:val="both"/>
        <w:rPr>
          <w:rFonts w:eastAsia="Calibri"/>
        </w:rPr>
      </w:pPr>
      <w:r w:rsidRPr="000817A1">
        <w:rPr>
          <w:rFonts w:eastAsia="Calibri"/>
        </w:rPr>
        <w:t>Dienvidkurzemes novada pašvaldības konsolidētais budžets 202</w:t>
      </w:r>
      <w:r w:rsidR="00B6223E">
        <w:rPr>
          <w:rFonts w:eastAsia="Calibri"/>
        </w:rPr>
        <w:t>6</w:t>
      </w:r>
      <w:r w:rsidRPr="000817A1">
        <w:rPr>
          <w:rFonts w:eastAsia="Calibri"/>
        </w:rPr>
        <w:t>.</w:t>
      </w:r>
      <w:r w:rsidR="00A11A69">
        <w:rPr>
          <w:rFonts w:eastAsia="Calibri"/>
        </w:rPr>
        <w:t xml:space="preserve"> </w:t>
      </w:r>
      <w:r w:rsidRPr="000817A1">
        <w:rPr>
          <w:rFonts w:eastAsia="Calibri"/>
        </w:rPr>
        <w:t xml:space="preserve">gadam sastāv no pamatbudžeta, ko veido attiecīgas ieņēmumu, izdevumu un finansēšanas daļas, </w:t>
      </w:r>
      <w:r w:rsidR="007C113A">
        <w:rPr>
          <w:rFonts w:eastAsia="Calibri"/>
        </w:rPr>
        <w:t>kā arī</w:t>
      </w:r>
      <w:r w:rsidRPr="000817A1">
        <w:rPr>
          <w:rFonts w:eastAsia="Calibri"/>
        </w:rPr>
        <w:t xml:space="preserve"> </w:t>
      </w:r>
      <w:r w:rsidR="00A11A69">
        <w:rPr>
          <w:rFonts w:eastAsia="Calibri"/>
        </w:rPr>
        <w:t xml:space="preserve">no </w:t>
      </w:r>
      <w:r w:rsidRPr="000817A1">
        <w:rPr>
          <w:rFonts w:eastAsia="Calibri"/>
        </w:rPr>
        <w:t>ziedojumu un dāvinājumu budžeta. Pašvaldība ir ņēmusi vērā visu nozaru intereses un</w:t>
      </w:r>
      <w:r w:rsidR="00D60B29">
        <w:rPr>
          <w:rFonts w:eastAsia="Calibri"/>
        </w:rPr>
        <w:t xml:space="preserve"> </w:t>
      </w:r>
      <w:r w:rsidRPr="000817A1">
        <w:rPr>
          <w:rFonts w:eastAsia="Calibri"/>
        </w:rPr>
        <w:t xml:space="preserve">centusies sabalansēt pieejamos finanšu līdzekļus tā, lai nodrošinātu uzlabojumus sabiedrībai svarīgās jomās.  </w:t>
      </w:r>
    </w:p>
    <w:p w14:paraId="06AB21F6" w14:textId="7BD03025" w:rsidR="006E210F" w:rsidRPr="000817A1" w:rsidRDefault="006E210F" w:rsidP="006E210F">
      <w:pPr>
        <w:autoSpaceDE w:val="0"/>
        <w:autoSpaceDN w:val="0"/>
        <w:adjustRightInd w:val="0"/>
        <w:spacing w:after="120" w:line="360" w:lineRule="auto"/>
        <w:ind w:firstLine="567"/>
        <w:jc w:val="both"/>
        <w:rPr>
          <w:rFonts w:eastAsia="Calibri"/>
        </w:rPr>
      </w:pPr>
      <w:r w:rsidRPr="00C11389">
        <w:rPr>
          <w:rFonts w:eastAsia="Calibri"/>
        </w:rPr>
        <w:t>Par budžeta prioritārajām jomām 202</w:t>
      </w:r>
      <w:r w:rsidR="00CF1017" w:rsidRPr="00C11389">
        <w:rPr>
          <w:rFonts w:eastAsia="Calibri"/>
        </w:rPr>
        <w:t>6</w:t>
      </w:r>
      <w:r w:rsidRPr="00C11389">
        <w:rPr>
          <w:rFonts w:eastAsia="Calibri"/>
        </w:rPr>
        <w:t>.</w:t>
      </w:r>
      <w:r w:rsidR="00D60B29" w:rsidRPr="00C11389">
        <w:rPr>
          <w:rFonts w:eastAsia="Calibri"/>
        </w:rPr>
        <w:t xml:space="preserve"> </w:t>
      </w:r>
      <w:r w:rsidRPr="00C11389">
        <w:rPr>
          <w:rFonts w:eastAsia="Calibri"/>
        </w:rPr>
        <w:t>gadā ir noteikta izglītības pieejamība, sociālo pakalpojumu nodrošināšana, sabiedriskās infrastruktūras uzlabošana, kā arī spēja</w:t>
      </w:r>
      <w:r w:rsidRPr="00BA52FF">
        <w:rPr>
          <w:rFonts w:eastAsia="Calibri"/>
        </w:rPr>
        <w:t xml:space="preserve"> pārvaldīt pašvaldības finanšu stabilitāti ilgtermiņā.</w:t>
      </w:r>
    </w:p>
    <w:p w14:paraId="6E428F6A" w14:textId="5B88012A" w:rsidR="006E210F" w:rsidRPr="000817A1" w:rsidRDefault="006E210F" w:rsidP="006E210F">
      <w:pPr>
        <w:autoSpaceDE w:val="0"/>
        <w:autoSpaceDN w:val="0"/>
        <w:adjustRightInd w:val="0"/>
        <w:spacing w:after="120" w:line="360" w:lineRule="auto"/>
        <w:ind w:firstLine="567"/>
        <w:jc w:val="both"/>
        <w:rPr>
          <w:rFonts w:eastAsia="Calibri"/>
        </w:rPr>
      </w:pPr>
      <w:r w:rsidRPr="000817A1">
        <w:rPr>
          <w:rFonts w:eastAsia="Calibri"/>
        </w:rPr>
        <w:t>Skaitliskā informācija par budžeta ieņēmumiem un izdevumiem un</w:t>
      </w:r>
      <w:r w:rsidR="00B71648">
        <w:rPr>
          <w:rFonts w:eastAsia="Calibri"/>
        </w:rPr>
        <w:t xml:space="preserve"> </w:t>
      </w:r>
      <w:r w:rsidRPr="000817A1">
        <w:rPr>
          <w:rFonts w:eastAsia="Calibri"/>
        </w:rPr>
        <w:t xml:space="preserve">budžeta klasifikāciju ir norādīta Dienvidkurzemes novada pašvaldības saistošajos noteikumos </w:t>
      </w:r>
      <w:r w:rsidR="00A9334E">
        <w:rPr>
          <w:rFonts w:eastAsia="Times New Roman"/>
          <w:lang w:eastAsia="lv-LV"/>
        </w:rPr>
        <w:t xml:space="preserve"> </w:t>
      </w:r>
      <w:r w:rsidR="002B682B" w:rsidRPr="00395116">
        <w:rPr>
          <w:rFonts w:eastAsia="Times New Roman"/>
          <w:lang w:eastAsia="lv-LV"/>
        </w:rPr>
        <w:t xml:space="preserve">“Par Dienvidkurzemes novada pašvaldības </w:t>
      </w:r>
      <w:r w:rsidR="002B682B">
        <w:rPr>
          <w:rFonts w:eastAsia="Times New Roman"/>
          <w:lang w:eastAsia="lv-LV"/>
        </w:rPr>
        <w:t xml:space="preserve">budžetu </w:t>
      </w:r>
      <w:r w:rsidR="002B682B" w:rsidRPr="00395116">
        <w:rPr>
          <w:rFonts w:eastAsia="Times New Roman"/>
          <w:lang w:eastAsia="lv-LV"/>
        </w:rPr>
        <w:t>202</w:t>
      </w:r>
      <w:r w:rsidR="002B682B">
        <w:rPr>
          <w:rFonts w:eastAsia="Times New Roman"/>
          <w:lang w:eastAsia="lv-LV"/>
        </w:rPr>
        <w:t>6</w:t>
      </w:r>
      <w:r w:rsidR="002B682B" w:rsidRPr="00395116">
        <w:rPr>
          <w:rFonts w:eastAsia="Times New Roman"/>
          <w:lang w:eastAsia="lv-LV"/>
        </w:rPr>
        <w:t>.</w:t>
      </w:r>
      <w:r w:rsidR="002B682B">
        <w:rPr>
          <w:rFonts w:eastAsia="Times New Roman"/>
          <w:lang w:eastAsia="lv-LV"/>
        </w:rPr>
        <w:t> </w:t>
      </w:r>
      <w:r w:rsidR="002B682B" w:rsidRPr="00395116">
        <w:rPr>
          <w:rFonts w:eastAsia="Times New Roman"/>
          <w:lang w:eastAsia="lv-LV"/>
        </w:rPr>
        <w:t>gada</w:t>
      </w:r>
      <w:r w:rsidR="002B682B">
        <w:rPr>
          <w:rFonts w:eastAsia="Times New Roman"/>
          <w:lang w:eastAsia="lv-LV"/>
        </w:rPr>
        <w:t xml:space="preserve">m” </w:t>
      </w:r>
      <w:r w:rsidRPr="000817A1">
        <w:rPr>
          <w:rFonts w:eastAsia="Calibri"/>
        </w:rPr>
        <w:t>un to pielikumos.</w:t>
      </w:r>
    </w:p>
    <w:p w14:paraId="0A84C66E" w14:textId="4D9E6F8A" w:rsidR="006E210F" w:rsidRPr="000817A1" w:rsidRDefault="006E210F" w:rsidP="006E210F">
      <w:pPr>
        <w:autoSpaceDE w:val="0"/>
        <w:autoSpaceDN w:val="0"/>
        <w:adjustRightInd w:val="0"/>
        <w:spacing w:after="120" w:line="360" w:lineRule="auto"/>
        <w:ind w:firstLine="567"/>
        <w:jc w:val="both"/>
        <w:rPr>
          <w:rFonts w:eastAsia="Calibri"/>
        </w:rPr>
      </w:pPr>
      <w:r w:rsidRPr="000817A1">
        <w:rPr>
          <w:rFonts w:eastAsia="Calibri"/>
        </w:rPr>
        <w:lastRenderedPageBreak/>
        <w:t>Dienvidkurzemes novada  pašvaldības 202</w:t>
      </w:r>
      <w:r w:rsidR="00A9334E">
        <w:rPr>
          <w:rFonts w:eastAsia="Calibri"/>
        </w:rPr>
        <w:t>6</w:t>
      </w:r>
      <w:r w:rsidRPr="000817A1">
        <w:rPr>
          <w:rFonts w:eastAsia="Calibri"/>
        </w:rPr>
        <w:t>.</w:t>
      </w:r>
      <w:r w:rsidR="00B71648">
        <w:rPr>
          <w:rFonts w:eastAsia="Calibri"/>
        </w:rPr>
        <w:t xml:space="preserve"> </w:t>
      </w:r>
      <w:r w:rsidRPr="000817A1">
        <w:rPr>
          <w:rFonts w:eastAsia="Calibri"/>
        </w:rPr>
        <w:t xml:space="preserve">gada budžets </w:t>
      </w:r>
      <w:r w:rsidR="00820269">
        <w:rPr>
          <w:rFonts w:eastAsia="Calibri"/>
        </w:rPr>
        <w:t xml:space="preserve">ir </w:t>
      </w:r>
      <w:r w:rsidRPr="000817A1">
        <w:rPr>
          <w:rFonts w:eastAsia="Calibri"/>
        </w:rPr>
        <w:t>izstrādāts</w:t>
      </w:r>
      <w:r w:rsidR="00820269">
        <w:rPr>
          <w:rFonts w:eastAsia="Calibri"/>
        </w:rPr>
        <w:t>,</w:t>
      </w:r>
      <w:r w:rsidRPr="000817A1">
        <w:rPr>
          <w:rFonts w:eastAsia="Calibri"/>
        </w:rPr>
        <w:t xml:space="preserve"> </w:t>
      </w:r>
      <w:r>
        <w:rPr>
          <w:rFonts w:eastAsia="Calibri"/>
        </w:rPr>
        <w:t>balstoties uz Li</w:t>
      </w:r>
      <w:r w:rsidRPr="000817A1">
        <w:rPr>
          <w:rFonts w:eastAsia="Calibri"/>
        </w:rPr>
        <w:t>kum</w:t>
      </w:r>
      <w:r>
        <w:rPr>
          <w:rFonts w:eastAsia="Calibri"/>
        </w:rPr>
        <w:t>u</w:t>
      </w:r>
      <w:r w:rsidRPr="000817A1">
        <w:rPr>
          <w:rFonts w:eastAsia="Calibri"/>
        </w:rPr>
        <w:t xml:space="preserve"> </w:t>
      </w:r>
      <w:r>
        <w:rPr>
          <w:rFonts w:eastAsia="Calibri"/>
        </w:rPr>
        <w:t>p</w:t>
      </w:r>
      <w:r w:rsidRPr="000817A1">
        <w:rPr>
          <w:rFonts w:eastAsia="Calibri"/>
        </w:rPr>
        <w:t>ar budžetu un finanšu vadību, likum</w:t>
      </w:r>
      <w:r>
        <w:rPr>
          <w:rFonts w:eastAsia="Calibri"/>
        </w:rPr>
        <w:t>u</w:t>
      </w:r>
      <w:r w:rsidRPr="000817A1">
        <w:rPr>
          <w:rFonts w:eastAsia="Calibri"/>
        </w:rPr>
        <w:t xml:space="preserve"> „Par pašvaldību budžetiem”, Pašvaldību likum</w:t>
      </w:r>
      <w:r>
        <w:rPr>
          <w:rFonts w:eastAsia="Calibri"/>
        </w:rPr>
        <w:t>u</w:t>
      </w:r>
      <w:r w:rsidRPr="000817A1">
        <w:rPr>
          <w:rFonts w:eastAsia="Calibri"/>
        </w:rPr>
        <w:t>, Valsts un pašvaldību amatpersonu un darbinieku atlīdzības likumu un citu likumu un normatīvo aktu prasībām.</w:t>
      </w:r>
    </w:p>
    <w:p w14:paraId="22BD1340" w14:textId="77777777" w:rsidR="006E210F" w:rsidRDefault="006E210F" w:rsidP="006E210F">
      <w:pPr>
        <w:autoSpaceDE w:val="0"/>
        <w:autoSpaceDN w:val="0"/>
        <w:adjustRightInd w:val="0"/>
        <w:spacing w:after="120" w:line="276" w:lineRule="auto"/>
        <w:ind w:firstLine="567"/>
        <w:jc w:val="center"/>
        <w:rPr>
          <w:rFonts w:eastAsia="Calibri"/>
          <w:b/>
        </w:rPr>
      </w:pPr>
    </w:p>
    <w:p w14:paraId="4A9834F3" w14:textId="77777777" w:rsidR="006E210F" w:rsidRPr="002E77DC" w:rsidRDefault="006E210F" w:rsidP="006E210F">
      <w:pPr>
        <w:autoSpaceDE w:val="0"/>
        <w:autoSpaceDN w:val="0"/>
        <w:adjustRightInd w:val="0"/>
        <w:spacing w:after="120" w:line="276" w:lineRule="auto"/>
        <w:ind w:firstLine="567"/>
        <w:jc w:val="center"/>
        <w:rPr>
          <w:rFonts w:eastAsia="Calibri"/>
          <w:b/>
        </w:rPr>
      </w:pPr>
      <w:r w:rsidRPr="002E77DC">
        <w:rPr>
          <w:rFonts w:eastAsia="Calibri"/>
          <w:b/>
        </w:rPr>
        <w:t xml:space="preserve">Pašvaldības budžeta struktūra </w:t>
      </w:r>
    </w:p>
    <w:tbl>
      <w:tblPr>
        <w:tblStyle w:val="Reatabula"/>
        <w:tblW w:w="0" w:type="auto"/>
        <w:jc w:val="center"/>
        <w:tblLook w:val="04A0" w:firstRow="1" w:lastRow="0" w:firstColumn="1" w:lastColumn="0" w:noHBand="0" w:noVBand="1"/>
      </w:tblPr>
      <w:tblGrid>
        <w:gridCol w:w="3674"/>
        <w:gridCol w:w="1869"/>
        <w:gridCol w:w="2006"/>
        <w:gridCol w:w="1846"/>
      </w:tblGrid>
      <w:tr w:rsidR="006E210F" w:rsidRPr="002E77DC" w14:paraId="605FD353" w14:textId="77777777" w:rsidTr="005105F4">
        <w:trPr>
          <w:trHeight w:val="825"/>
          <w:jc w:val="center"/>
        </w:trPr>
        <w:tc>
          <w:tcPr>
            <w:tcW w:w="3674" w:type="dxa"/>
            <w:vAlign w:val="center"/>
          </w:tcPr>
          <w:p w14:paraId="4C3418AE" w14:textId="77777777" w:rsidR="006E210F" w:rsidRPr="002E77DC" w:rsidRDefault="006E210F" w:rsidP="00183521">
            <w:pPr>
              <w:autoSpaceDE w:val="0"/>
              <w:autoSpaceDN w:val="0"/>
              <w:adjustRightInd w:val="0"/>
              <w:spacing w:after="120" w:line="276" w:lineRule="auto"/>
              <w:jc w:val="center"/>
              <w:rPr>
                <w:rFonts w:eastAsia="Calibri"/>
                <w:b/>
              </w:rPr>
            </w:pPr>
            <w:r>
              <w:rPr>
                <w:rFonts w:eastAsia="Calibri"/>
                <w:b/>
              </w:rPr>
              <w:t>Rādītāji</w:t>
            </w:r>
          </w:p>
        </w:tc>
        <w:tc>
          <w:tcPr>
            <w:tcW w:w="1869" w:type="dxa"/>
            <w:vAlign w:val="center"/>
          </w:tcPr>
          <w:p w14:paraId="05A3B337" w14:textId="4EBE6423" w:rsidR="006E210F" w:rsidRPr="002E77DC" w:rsidRDefault="006E210F" w:rsidP="00183521">
            <w:pPr>
              <w:autoSpaceDE w:val="0"/>
              <w:autoSpaceDN w:val="0"/>
              <w:adjustRightInd w:val="0"/>
              <w:spacing w:after="120"/>
              <w:jc w:val="center"/>
              <w:rPr>
                <w:rFonts w:eastAsia="Calibri"/>
                <w:b/>
              </w:rPr>
            </w:pPr>
            <w:r w:rsidRPr="002E77DC">
              <w:rPr>
                <w:rFonts w:eastAsia="Calibri"/>
                <w:b/>
              </w:rPr>
              <w:t>202</w:t>
            </w:r>
            <w:r w:rsidR="006B46E1">
              <w:rPr>
                <w:rFonts w:eastAsia="Calibri"/>
                <w:b/>
              </w:rPr>
              <w:t>5</w:t>
            </w:r>
            <w:r w:rsidRPr="002E77DC">
              <w:rPr>
                <w:rFonts w:eastAsia="Calibri"/>
                <w:b/>
              </w:rPr>
              <w:t>.</w:t>
            </w:r>
            <w:r w:rsidR="006B46E1">
              <w:rPr>
                <w:rFonts w:eastAsia="Calibri"/>
                <w:b/>
              </w:rPr>
              <w:t> </w:t>
            </w:r>
            <w:r w:rsidRPr="002E77DC">
              <w:rPr>
                <w:rFonts w:eastAsia="Calibri"/>
                <w:b/>
              </w:rPr>
              <w:t>gada izpilde</w:t>
            </w:r>
            <w:r>
              <w:rPr>
                <w:rFonts w:eastAsia="Calibri"/>
                <w:b/>
              </w:rPr>
              <w:t xml:space="preserve"> EUR</w:t>
            </w:r>
          </w:p>
        </w:tc>
        <w:tc>
          <w:tcPr>
            <w:tcW w:w="2006" w:type="dxa"/>
            <w:vAlign w:val="center"/>
          </w:tcPr>
          <w:p w14:paraId="741EFCF3" w14:textId="7914635F" w:rsidR="006E210F" w:rsidRPr="002E77DC" w:rsidRDefault="006E210F" w:rsidP="00183521">
            <w:pPr>
              <w:autoSpaceDE w:val="0"/>
              <w:autoSpaceDN w:val="0"/>
              <w:adjustRightInd w:val="0"/>
              <w:spacing w:after="120"/>
              <w:jc w:val="center"/>
              <w:rPr>
                <w:rFonts w:eastAsia="Calibri"/>
                <w:b/>
              </w:rPr>
            </w:pPr>
            <w:r w:rsidRPr="002E77DC">
              <w:rPr>
                <w:rFonts w:eastAsia="Calibri"/>
                <w:b/>
              </w:rPr>
              <w:t>202</w:t>
            </w:r>
            <w:r w:rsidR="006B46E1">
              <w:rPr>
                <w:rFonts w:eastAsia="Calibri"/>
                <w:b/>
              </w:rPr>
              <w:t>6</w:t>
            </w:r>
            <w:r w:rsidRPr="002E77DC">
              <w:rPr>
                <w:rFonts w:eastAsia="Calibri"/>
                <w:b/>
              </w:rPr>
              <w:t>.</w:t>
            </w:r>
            <w:r w:rsidR="006B46E1">
              <w:rPr>
                <w:rFonts w:eastAsia="Calibri"/>
                <w:b/>
              </w:rPr>
              <w:t> </w:t>
            </w:r>
            <w:r w:rsidRPr="002E77DC">
              <w:rPr>
                <w:rFonts w:eastAsia="Calibri"/>
                <w:b/>
              </w:rPr>
              <w:t>gada budžeta prognoze</w:t>
            </w:r>
            <w:r>
              <w:rPr>
                <w:rFonts w:eastAsia="Calibri"/>
                <w:b/>
              </w:rPr>
              <w:t xml:space="preserve"> EUR</w:t>
            </w:r>
          </w:p>
        </w:tc>
        <w:tc>
          <w:tcPr>
            <w:tcW w:w="1846" w:type="dxa"/>
            <w:vAlign w:val="center"/>
          </w:tcPr>
          <w:p w14:paraId="63DAEA6A" w14:textId="77777777" w:rsidR="006E210F" w:rsidRPr="002E77DC" w:rsidRDefault="006E210F" w:rsidP="00183521">
            <w:pPr>
              <w:autoSpaceDE w:val="0"/>
              <w:autoSpaceDN w:val="0"/>
              <w:adjustRightInd w:val="0"/>
              <w:spacing w:after="120"/>
              <w:jc w:val="center"/>
              <w:rPr>
                <w:rFonts w:eastAsia="Calibri"/>
                <w:b/>
              </w:rPr>
            </w:pPr>
            <w:r w:rsidRPr="002E77DC">
              <w:rPr>
                <w:rFonts w:eastAsia="Calibri"/>
                <w:b/>
              </w:rPr>
              <w:t>Salīdzinājums</w:t>
            </w:r>
          </w:p>
        </w:tc>
      </w:tr>
      <w:tr w:rsidR="00633299" w:rsidRPr="002E77DC" w14:paraId="0F1FB735" w14:textId="77777777" w:rsidTr="005105F4">
        <w:trPr>
          <w:jc w:val="center"/>
        </w:trPr>
        <w:tc>
          <w:tcPr>
            <w:tcW w:w="3674" w:type="dxa"/>
            <w:vAlign w:val="center"/>
          </w:tcPr>
          <w:p w14:paraId="573B09CB" w14:textId="77777777" w:rsidR="00633299" w:rsidRPr="002E77DC" w:rsidRDefault="00633299" w:rsidP="00633299">
            <w:pPr>
              <w:autoSpaceDE w:val="0"/>
              <w:autoSpaceDN w:val="0"/>
              <w:adjustRightInd w:val="0"/>
              <w:spacing w:after="120" w:line="276" w:lineRule="auto"/>
              <w:jc w:val="center"/>
              <w:rPr>
                <w:rFonts w:eastAsia="Calibri"/>
                <w:b/>
              </w:rPr>
            </w:pPr>
            <w:r w:rsidRPr="002E77DC">
              <w:rPr>
                <w:rFonts w:eastAsia="Calibri"/>
                <w:b/>
              </w:rPr>
              <w:t>IEŅĒMUMI</w:t>
            </w:r>
          </w:p>
        </w:tc>
        <w:tc>
          <w:tcPr>
            <w:tcW w:w="1869" w:type="dxa"/>
          </w:tcPr>
          <w:p w14:paraId="0EF38724" w14:textId="3250B92E" w:rsidR="00633299" w:rsidRPr="00C41441" w:rsidRDefault="00633299" w:rsidP="00633299">
            <w:pPr>
              <w:jc w:val="center"/>
              <w:rPr>
                <w:b/>
                <w:bCs/>
              </w:rPr>
            </w:pPr>
            <w:r w:rsidRPr="000533DA">
              <w:rPr>
                <w:b/>
                <w:bCs/>
              </w:rPr>
              <w:t>67 479 526</w:t>
            </w:r>
          </w:p>
        </w:tc>
        <w:tc>
          <w:tcPr>
            <w:tcW w:w="2006" w:type="dxa"/>
          </w:tcPr>
          <w:p w14:paraId="2F94341D" w14:textId="141AA0DD" w:rsidR="00633299" w:rsidRPr="005522CE" w:rsidRDefault="000F7B36" w:rsidP="00633299">
            <w:pPr>
              <w:jc w:val="center"/>
              <w:rPr>
                <w:b/>
                <w:highlight w:val="yellow"/>
              </w:rPr>
            </w:pPr>
            <w:r w:rsidRPr="000F7B36">
              <w:rPr>
                <w:b/>
              </w:rPr>
              <w:t>69 375 736</w:t>
            </w:r>
          </w:p>
        </w:tc>
        <w:tc>
          <w:tcPr>
            <w:tcW w:w="1846" w:type="dxa"/>
          </w:tcPr>
          <w:p w14:paraId="63A013AD" w14:textId="0BBCF1D1" w:rsidR="00633299" w:rsidRPr="005522CE" w:rsidRDefault="00633299" w:rsidP="00633299">
            <w:pPr>
              <w:jc w:val="center"/>
              <w:rPr>
                <w:highlight w:val="yellow"/>
              </w:rPr>
            </w:pPr>
            <w:r w:rsidRPr="00231C31">
              <w:t>2,</w:t>
            </w:r>
            <w:r w:rsidR="00CF4D9A">
              <w:t>8</w:t>
            </w:r>
            <w:r w:rsidRPr="00231C31">
              <w:t>%</w:t>
            </w:r>
          </w:p>
        </w:tc>
      </w:tr>
      <w:tr w:rsidR="00633299" w:rsidRPr="002E77DC" w14:paraId="49983236" w14:textId="77777777" w:rsidTr="005105F4">
        <w:trPr>
          <w:jc w:val="center"/>
        </w:trPr>
        <w:tc>
          <w:tcPr>
            <w:tcW w:w="3674" w:type="dxa"/>
            <w:vAlign w:val="center"/>
          </w:tcPr>
          <w:p w14:paraId="4EC41A2F" w14:textId="77777777" w:rsidR="00633299" w:rsidRPr="002E77DC" w:rsidRDefault="00633299" w:rsidP="00633299">
            <w:pPr>
              <w:autoSpaceDE w:val="0"/>
              <w:autoSpaceDN w:val="0"/>
              <w:adjustRightInd w:val="0"/>
              <w:spacing w:after="120" w:line="276" w:lineRule="auto"/>
              <w:jc w:val="center"/>
              <w:rPr>
                <w:rFonts w:eastAsia="Calibri"/>
              </w:rPr>
            </w:pPr>
            <w:r w:rsidRPr="002E77DC">
              <w:rPr>
                <w:rFonts w:eastAsia="Calibri"/>
              </w:rPr>
              <w:t>Pamatbudžeta ieņēmumi</w:t>
            </w:r>
          </w:p>
        </w:tc>
        <w:tc>
          <w:tcPr>
            <w:tcW w:w="1869" w:type="dxa"/>
          </w:tcPr>
          <w:p w14:paraId="542D642D" w14:textId="039BD64A" w:rsidR="00633299" w:rsidRPr="00C41441" w:rsidRDefault="00633299" w:rsidP="00633299">
            <w:pPr>
              <w:autoSpaceDE w:val="0"/>
              <w:autoSpaceDN w:val="0"/>
              <w:adjustRightInd w:val="0"/>
              <w:spacing w:after="120" w:line="276" w:lineRule="auto"/>
              <w:jc w:val="center"/>
              <w:rPr>
                <w:rFonts w:eastAsia="Calibri"/>
              </w:rPr>
            </w:pPr>
            <w:r w:rsidRPr="000533DA">
              <w:rPr>
                <w:rFonts w:eastAsia="Calibri"/>
              </w:rPr>
              <w:t>67 473 876</w:t>
            </w:r>
          </w:p>
        </w:tc>
        <w:tc>
          <w:tcPr>
            <w:tcW w:w="2006" w:type="dxa"/>
          </w:tcPr>
          <w:p w14:paraId="6C68E9C9" w14:textId="4A8DD0F9" w:rsidR="00633299" w:rsidRPr="005522CE" w:rsidRDefault="00974CF6" w:rsidP="00633299">
            <w:pPr>
              <w:autoSpaceDE w:val="0"/>
              <w:autoSpaceDN w:val="0"/>
              <w:adjustRightInd w:val="0"/>
              <w:spacing w:after="120" w:line="276" w:lineRule="auto"/>
              <w:jc w:val="center"/>
              <w:rPr>
                <w:rFonts w:eastAsia="Calibri"/>
                <w:highlight w:val="yellow"/>
              </w:rPr>
            </w:pPr>
            <w:r w:rsidRPr="00974CF6">
              <w:t>69 373 236</w:t>
            </w:r>
          </w:p>
        </w:tc>
        <w:tc>
          <w:tcPr>
            <w:tcW w:w="1846" w:type="dxa"/>
          </w:tcPr>
          <w:p w14:paraId="0FDDC340" w14:textId="07A844E3" w:rsidR="00633299" w:rsidRPr="005522CE" w:rsidRDefault="00633299" w:rsidP="00633299">
            <w:pPr>
              <w:jc w:val="center"/>
              <w:rPr>
                <w:highlight w:val="yellow"/>
              </w:rPr>
            </w:pPr>
            <w:r w:rsidRPr="00231C31">
              <w:t>2,</w:t>
            </w:r>
            <w:r w:rsidR="00CF4D9A">
              <w:t>8</w:t>
            </w:r>
            <w:r w:rsidRPr="00231C31">
              <w:t>%</w:t>
            </w:r>
          </w:p>
        </w:tc>
      </w:tr>
      <w:tr w:rsidR="00633299" w:rsidRPr="002E77DC" w14:paraId="048E8F75" w14:textId="77777777" w:rsidTr="005105F4">
        <w:trPr>
          <w:jc w:val="center"/>
        </w:trPr>
        <w:tc>
          <w:tcPr>
            <w:tcW w:w="3674" w:type="dxa"/>
            <w:vAlign w:val="center"/>
          </w:tcPr>
          <w:p w14:paraId="6ECB11CA" w14:textId="77777777" w:rsidR="00633299" w:rsidRPr="002E77DC" w:rsidRDefault="00633299" w:rsidP="00633299">
            <w:pPr>
              <w:autoSpaceDE w:val="0"/>
              <w:autoSpaceDN w:val="0"/>
              <w:adjustRightInd w:val="0"/>
              <w:spacing w:after="120" w:line="276" w:lineRule="auto"/>
              <w:jc w:val="center"/>
              <w:rPr>
                <w:rFonts w:eastAsia="Calibri"/>
              </w:rPr>
            </w:pPr>
            <w:r w:rsidRPr="002E77DC">
              <w:rPr>
                <w:rFonts w:eastAsia="Calibri"/>
              </w:rPr>
              <w:t>Ziedojumi un dāvinājumi</w:t>
            </w:r>
          </w:p>
        </w:tc>
        <w:tc>
          <w:tcPr>
            <w:tcW w:w="1869" w:type="dxa"/>
            <w:vAlign w:val="center"/>
          </w:tcPr>
          <w:p w14:paraId="7F7659DB" w14:textId="682E2384" w:rsidR="00633299" w:rsidRPr="002E77DC" w:rsidRDefault="00633299" w:rsidP="00633299">
            <w:pPr>
              <w:autoSpaceDE w:val="0"/>
              <w:autoSpaceDN w:val="0"/>
              <w:adjustRightInd w:val="0"/>
              <w:spacing w:after="120" w:line="276" w:lineRule="auto"/>
              <w:jc w:val="center"/>
              <w:rPr>
                <w:rFonts w:eastAsia="Calibri"/>
              </w:rPr>
            </w:pPr>
            <w:r>
              <w:rPr>
                <w:rFonts w:eastAsia="Calibri"/>
              </w:rPr>
              <w:t>5</w:t>
            </w:r>
            <w:r w:rsidR="005F5F53">
              <w:rPr>
                <w:rFonts w:eastAsia="Calibri"/>
              </w:rPr>
              <w:t xml:space="preserve"> </w:t>
            </w:r>
            <w:r>
              <w:rPr>
                <w:rFonts w:eastAsia="Calibri"/>
              </w:rPr>
              <w:t>650</w:t>
            </w:r>
          </w:p>
        </w:tc>
        <w:tc>
          <w:tcPr>
            <w:tcW w:w="2006" w:type="dxa"/>
            <w:vAlign w:val="center"/>
          </w:tcPr>
          <w:p w14:paraId="7A6220EA" w14:textId="4D15684D" w:rsidR="00633299" w:rsidRPr="005522CE" w:rsidRDefault="00633299" w:rsidP="00633299">
            <w:pPr>
              <w:autoSpaceDE w:val="0"/>
              <w:autoSpaceDN w:val="0"/>
              <w:adjustRightInd w:val="0"/>
              <w:spacing w:after="120" w:line="276" w:lineRule="auto"/>
              <w:jc w:val="center"/>
              <w:rPr>
                <w:rFonts w:eastAsia="Calibri"/>
                <w:highlight w:val="yellow"/>
              </w:rPr>
            </w:pPr>
            <w:r>
              <w:rPr>
                <w:rFonts w:eastAsia="Calibri"/>
              </w:rPr>
              <w:t>2</w:t>
            </w:r>
            <w:r w:rsidR="005F5F53">
              <w:rPr>
                <w:rFonts w:eastAsia="Calibri"/>
              </w:rPr>
              <w:t xml:space="preserve"> </w:t>
            </w:r>
            <w:r w:rsidRPr="00D20397">
              <w:rPr>
                <w:rFonts w:eastAsia="Calibri"/>
              </w:rPr>
              <w:t>500</w:t>
            </w:r>
          </w:p>
        </w:tc>
        <w:tc>
          <w:tcPr>
            <w:tcW w:w="1846" w:type="dxa"/>
          </w:tcPr>
          <w:p w14:paraId="2195A2AD" w14:textId="53643B58" w:rsidR="00633299" w:rsidRPr="005522CE" w:rsidRDefault="00633299" w:rsidP="00633299">
            <w:pPr>
              <w:jc w:val="center"/>
              <w:rPr>
                <w:highlight w:val="yellow"/>
              </w:rPr>
            </w:pPr>
            <w:r w:rsidRPr="00231C31">
              <w:t>-55,8%</w:t>
            </w:r>
          </w:p>
        </w:tc>
      </w:tr>
      <w:tr w:rsidR="00633299" w:rsidRPr="002E77DC" w14:paraId="1D712539" w14:textId="77777777" w:rsidTr="005105F4">
        <w:trPr>
          <w:jc w:val="center"/>
        </w:trPr>
        <w:tc>
          <w:tcPr>
            <w:tcW w:w="3674" w:type="dxa"/>
            <w:vAlign w:val="center"/>
          </w:tcPr>
          <w:p w14:paraId="6C222F5A" w14:textId="77777777" w:rsidR="00633299" w:rsidRPr="002E77DC" w:rsidRDefault="00633299" w:rsidP="00633299">
            <w:pPr>
              <w:autoSpaceDE w:val="0"/>
              <w:autoSpaceDN w:val="0"/>
              <w:adjustRightInd w:val="0"/>
              <w:spacing w:after="120" w:line="276" w:lineRule="auto"/>
              <w:jc w:val="center"/>
              <w:rPr>
                <w:rFonts w:eastAsia="Calibri"/>
                <w:b/>
              </w:rPr>
            </w:pPr>
            <w:r>
              <w:rPr>
                <w:rFonts w:eastAsia="Calibri"/>
                <w:b/>
              </w:rPr>
              <w:t>I</w:t>
            </w:r>
            <w:r w:rsidRPr="002E77DC">
              <w:rPr>
                <w:rFonts w:eastAsia="Calibri"/>
                <w:b/>
              </w:rPr>
              <w:t>ZDEVUMI</w:t>
            </w:r>
          </w:p>
        </w:tc>
        <w:tc>
          <w:tcPr>
            <w:tcW w:w="1869" w:type="dxa"/>
          </w:tcPr>
          <w:p w14:paraId="767F8435" w14:textId="1E84394F" w:rsidR="00633299" w:rsidRPr="002E77DC" w:rsidRDefault="00633299" w:rsidP="00633299">
            <w:pPr>
              <w:jc w:val="center"/>
              <w:rPr>
                <w:b/>
              </w:rPr>
            </w:pPr>
            <w:r w:rsidRPr="00DD4CAE">
              <w:rPr>
                <w:b/>
              </w:rPr>
              <w:t>64 405 083</w:t>
            </w:r>
          </w:p>
        </w:tc>
        <w:tc>
          <w:tcPr>
            <w:tcW w:w="2006" w:type="dxa"/>
          </w:tcPr>
          <w:p w14:paraId="14FFD07B" w14:textId="0BB55426" w:rsidR="00633299" w:rsidRPr="005522CE" w:rsidRDefault="00A238B5" w:rsidP="00633299">
            <w:pPr>
              <w:jc w:val="center"/>
              <w:rPr>
                <w:b/>
                <w:highlight w:val="yellow"/>
              </w:rPr>
            </w:pPr>
            <w:r w:rsidRPr="00A238B5">
              <w:rPr>
                <w:b/>
              </w:rPr>
              <w:t>74 893 528</w:t>
            </w:r>
          </w:p>
        </w:tc>
        <w:tc>
          <w:tcPr>
            <w:tcW w:w="1846" w:type="dxa"/>
          </w:tcPr>
          <w:p w14:paraId="34EDAF77" w14:textId="51C4F183" w:rsidR="00633299" w:rsidRPr="005522CE" w:rsidRDefault="00633299" w:rsidP="00633299">
            <w:pPr>
              <w:jc w:val="center"/>
              <w:rPr>
                <w:highlight w:val="yellow"/>
              </w:rPr>
            </w:pPr>
            <w:r w:rsidRPr="00231C31">
              <w:t>16,3%</w:t>
            </w:r>
          </w:p>
        </w:tc>
      </w:tr>
      <w:tr w:rsidR="00633299" w:rsidRPr="002E77DC" w14:paraId="642CB8B0" w14:textId="77777777" w:rsidTr="005105F4">
        <w:trPr>
          <w:jc w:val="center"/>
        </w:trPr>
        <w:tc>
          <w:tcPr>
            <w:tcW w:w="3674" w:type="dxa"/>
            <w:vAlign w:val="center"/>
          </w:tcPr>
          <w:p w14:paraId="18ADD001" w14:textId="77777777" w:rsidR="00633299" w:rsidRPr="002E77DC" w:rsidRDefault="00633299" w:rsidP="00633299">
            <w:pPr>
              <w:autoSpaceDE w:val="0"/>
              <w:autoSpaceDN w:val="0"/>
              <w:adjustRightInd w:val="0"/>
              <w:spacing w:after="120" w:line="276" w:lineRule="auto"/>
              <w:jc w:val="center"/>
              <w:rPr>
                <w:rFonts w:eastAsia="Calibri"/>
              </w:rPr>
            </w:pPr>
            <w:r w:rsidRPr="002E77DC">
              <w:rPr>
                <w:rFonts w:eastAsia="Calibri"/>
              </w:rPr>
              <w:t>Pamatbudžeta  izdevumi</w:t>
            </w:r>
          </w:p>
        </w:tc>
        <w:tc>
          <w:tcPr>
            <w:tcW w:w="1869" w:type="dxa"/>
            <w:vAlign w:val="center"/>
          </w:tcPr>
          <w:p w14:paraId="5F11771A" w14:textId="48B971E6" w:rsidR="00633299" w:rsidRPr="002E77DC" w:rsidRDefault="00633299" w:rsidP="00633299">
            <w:pPr>
              <w:autoSpaceDE w:val="0"/>
              <w:autoSpaceDN w:val="0"/>
              <w:adjustRightInd w:val="0"/>
              <w:spacing w:after="120" w:line="276" w:lineRule="auto"/>
              <w:jc w:val="center"/>
              <w:rPr>
                <w:rFonts w:eastAsia="Calibri"/>
              </w:rPr>
            </w:pPr>
            <w:r w:rsidRPr="006E52EC">
              <w:rPr>
                <w:rFonts w:eastAsia="Calibri"/>
              </w:rPr>
              <w:t>64 395 380</w:t>
            </w:r>
          </w:p>
        </w:tc>
        <w:tc>
          <w:tcPr>
            <w:tcW w:w="2006" w:type="dxa"/>
            <w:vAlign w:val="center"/>
          </w:tcPr>
          <w:p w14:paraId="3C12F7E3" w14:textId="3430EEB8" w:rsidR="00633299" w:rsidRPr="005522CE" w:rsidRDefault="002B0607" w:rsidP="00633299">
            <w:pPr>
              <w:autoSpaceDE w:val="0"/>
              <w:autoSpaceDN w:val="0"/>
              <w:adjustRightInd w:val="0"/>
              <w:spacing w:after="120" w:line="276" w:lineRule="auto"/>
              <w:jc w:val="center"/>
              <w:rPr>
                <w:rFonts w:eastAsia="Calibri"/>
                <w:highlight w:val="yellow"/>
              </w:rPr>
            </w:pPr>
            <w:r w:rsidRPr="002B0607">
              <w:rPr>
                <w:rFonts w:eastAsia="Calibri"/>
              </w:rPr>
              <w:t>74 877 628</w:t>
            </w:r>
          </w:p>
        </w:tc>
        <w:tc>
          <w:tcPr>
            <w:tcW w:w="1846" w:type="dxa"/>
          </w:tcPr>
          <w:p w14:paraId="3EBC9855" w14:textId="34326DAC" w:rsidR="00633299" w:rsidRPr="005522CE" w:rsidRDefault="00633299" w:rsidP="00633299">
            <w:pPr>
              <w:jc w:val="center"/>
              <w:rPr>
                <w:highlight w:val="yellow"/>
              </w:rPr>
            </w:pPr>
            <w:r w:rsidRPr="00231C31">
              <w:t>16,3%</w:t>
            </w:r>
          </w:p>
        </w:tc>
      </w:tr>
      <w:tr w:rsidR="00633299" w:rsidRPr="002E77DC" w14:paraId="16459EDC" w14:textId="77777777" w:rsidTr="005105F4">
        <w:trPr>
          <w:trHeight w:val="299"/>
          <w:jc w:val="center"/>
        </w:trPr>
        <w:tc>
          <w:tcPr>
            <w:tcW w:w="3674" w:type="dxa"/>
            <w:vAlign w:val="center"/>
          </w:tcPr>
          <w:p w14:paraId="22B6208A" w14:textId="77777777" w:rsidR="00633299" w:rsidRPr="002E77DC" w:rsidRDefault="00633299" w:rsidP="00633299">
            <w:pPr>
              <w:autoSpaceDE w:val="0"/>
              <w:autoSpaceDN w:val="0"/>
              <w:adjustRightInd w:val="0"/>
              <w:spacing w:after="120" w:line="276" w:lineRule="auto"/>
              <w:jc w:val="center"/>
              <w:rPr>
                <w:rFonts w:eastAsia="Calibri"/>
              </w:rPr>
            </w:pPr>
            <w:r w:rsidRPr="002E77DC">
              <w:rPr>
                <w:rFonts w:eastAsia="Calibri"/>
              </w:rPr>
              <w:t>Ziedojumi un dāvinājumi</w:t>
            </w:r>
          </w:p>
        </w:tc>
        <w:tc>
          <w:tcPr>
            <w:tcW w:w="1869" w:type="dxa"/>
            <w:vAlign w:val="center"/>
          </w:tcPr>
          <w:p w14:paraId="400B177D" w14:textId="16D4C102" w:rsidR="00633299" w:rsidRPr="002E77DC" w:rsidRDefault="00633299" w:rsidP="00633299">
            <w:pPr>
              <w:autoSpaceDE w:val="0"/>
              <w:autoSpaceDN w:val="0"/>
              <w:adjustRightInd w:val="0"/>
              <w:spacing w:after="120" w:line="276" w:lineRule="auto"/>
              <w:jc w:val="center"/>
              <w:rPr>
                <w:rFonts w:eastAsia="Calibri"/>
              </w:rPr>
            </w:pPr>
            <w:r w:rsidRPr="00DA634E">
              <w:rPr>
                <w:rFonts w:eastAsia="Calibri"/>
              </w:rPr>
              <w:t>9 703</w:t>
            </w:r>
          </w:p>
        </w:tc>
        <w:tc>
          <w:tcPr>
            <w:tcW w:w="2006" w:type="dxa"/>
            <w:vAlign w:val="center"/>
          </w:tcPr>
          <w:p w14:paraId="0490E996" w14:textId="1D306FD8" w:rsidR="00633299" w:rsidRPr="005522CE" w:rsidRDefault="00633299" w:rsidP="00633299">
            <w:pPr>
              <w:autoSpaceDE w:val="0"/>
              <w:autoSpaceDN w:val="0"/>
              <w:adjustRightInd w:val="0"/>
              <w:spacing w:after="120" w:line="276" w:lineRule="auto"/>
              <w:jc w:val="center"/>
              <w:rPr>
                <w:rFonts w:eastAsia="Calibri"/>
                <w:highlight w:val="yellow"/>
              </w:rPr>
            </w:pPr>
            <w:r w:rsidRPr="00C92D5A">
              <w:rPr>
                <w:rFonts w:eastAsia="Calibri"/>
              </w:rPr>
              <w:t>1</w:t>
            </w:r>
            <w:r>
              <w:rPr>
                <w:rFonts w:eastAsia="Calibri"/>
              </w:rPr>
              <w:t>5</w:t>
            </w:r>
            <w:r w:rsidRPr="00C92D5A">
              <w:rPr>
                <w:rFonts w:eastAsia="Calibri"/>
              </w:rPr>
              <w:t xml:space="preserve"> </w:t>
            </w:r>
            <w:r>
              <w:rPr>
                <w:rFonts w:eastAsia="Calibri"/>
              </w:rPr>
              <w:t>900</w:t>
            </w:r>
          </w:p>
        </w:tc>
        <w:tc>
          <w:tcPr>
            <w:tcW w:w="1846" w:type="dxa"/>
          </w:tcPr>
          <w:p w14:paraId="465DC46F" w14:textId="3BC42467" w:rsidR="00633299" w:rsidRPr="005522CE" w:rsidRDefault="00633299" w:rsidP="00633299">
            <w:pPr>
              <w:jc w:val="center"/>
              <w:rPr>
                <w:highlight w:val="yellow"/>
              </w:rPr>
            </w:pPr>
            <w:r w:rsidRPr="00231C31">
              <w:t>63,9%</w:t>
            </w:r>
          </w:p>
        </w:tc>
      </w:tr>
      <w:tr w:rsidR="00070F3D" w:rsidRPr="002E77DC" w14:paraId="3B848480" w14:textId="77777777" w:rsidTr="005105F4">
        <w:trPr>
          <w:jc w:val="center"/>
        </w:trPr>
        <w:tc>
          <w:tcPr>
            <w:tcW w:w="3674" w:type="dxa"/>
            <w:vAlign w:val="center"/>
          </w:tcPr>
          <w:p w14:paraId="07EC0ACF" w14:textId="77777777" w:rsidR="00070F3D" w:rsidRPr="002E77DC" w:rsidRDefault="00070F3D" w:rsidP="00070F3D">
            <w:pPr>
              <w:autoSpaceDE w:val="0"/>
              <w:autoSpaceDN w:val="0"/>
              <w:adjustRightInd w:val="0"/>
              <w:spacing w:after="120" w:line="276" w:lineRule="auto"/>
              <w:jc w:val="center"/>
              <w:rPr>
                <w:rFonts w:eastAsia="Calibri"/>
              </w:rPr>
            </w:pPr>
            <w:r w:rsidRPr="002E77DC">
              <w:rPr>
                <w:rFonts w:eastAsia="Calibri"/>
                <w:b/>
              </w:rPr>
              <w:t>FINANSĒŠANA</w:t>
            </w:r>
          </w:p>
        </w:tc>
        <w:tc>
          <w:tcPr>
            <w:tcW w:w="1869" w:type="dxa"/>
          </w:tcPr>
          <w:p w14:paraId="0567531C" w14:textId="77105D06" w:rsidR="00070F3D" w:rsidRPr="009A4261" w:rsidRDefault="00070F3D" w:rsidP="00070F3D">
            <w:pPr>
              <w:autoSpaceDE w:val="0"/>
              <w:autoSpaceDN w:val="0"/>
              <w:adjustRightInd w:val="0"/>
              <w:spacing w:after="120" w:line="276" w:lineRule="auto"/>
              <w:jc w:val="center"/>
              <w:rPr>
                <w:rFonts w:eastAsia="Calibri"/>
                <w:b/>
                <w:bCs/>
              </w:rPr>
            </w:pPr>
            <w:r w:rsidRPr="009A168C">
              <w:rPr>
                <w:b/>
                <w:bCs/>
              </w:rPr>
              <w:t>-3 074 443</w:t>
            </w:r>
          </w:p>
        </w:tc>
        <w:tc>
          <w:tcPr>
            <w:tcW w:w="2006" w:type="dxa"/>
          </w:tcPr>
          <w:p w14:paraId="67EC1D94" w14:textId="1A74C526" w:rsidR="00070F3D" w:rsidRPr="005522CE" w:rsidRDefault="00CF4D9A" w:rsidP="00070F3D">
            <w:pPr>
              <w:autoSpaceDE w:val="0"/>
              <w:autoSpaceDN w:val="0"/>
              <w:adjustRightInd w:val="0"/>
              <w:spacing w:after="120" w:line="276" w:lineRule="auto"/>
              <w:jc w:val="center"/>
              <w:rPr>
                <w:rFonts w:eastAsia="Calibri"/>
                <w:b/>
                <w:bCs/>
                <w:highlight w:val="yellow"/>
              </w:rPr>
            </w:pPr>
            <w:r w:rsidRPr="00CF4D9A">
              <w:rPr>
                <w:b/>
                <w:bCs/>
              </w:rPr>
              <w:t>5 517 79</w:t>
            </w:r>
            <w:r w:rsidR="000F7B36">
              <w:rPr>
                <w:b/>
                <w:bCs/>
              </w:rPr>
              <w:t>2</w:t>
            </w:r>
          </w:p>
        </w:tc>
        <w:tc>
          <w:tcPr>
            <w:tcW w:w="1846" w:type="dxa"/>
          </w:tcPr>
          <w:p w14:paraId="6837B0BF" w14:textId="030A26FA" w:rsidR="00070F3D" w:rsidRPr="005522CE" w:rsidRDefault="00070F3D" w:rsidP="00070F3D">
            <w:pPr>
              <w:jc w:val="center"/>
              <w:rPr>
                <w:highlight w:val="yellow"/>
              </w:rPr>
            </w:pPr>
          </w:p>
        </w:tc>
      </w:tr>
      <w:tr w:rsidR="00070F3D" w:rsidRPr="002E77DC" w14:paraId="650B19A4" w14:textId="77777777" w:rsidTr="005105F4">
        <w:trPr>
          <w:jc w:val="center"/>
        </w:trPr>
        <w:tc>
          <w:tcPr>
            <w:tcW w:w="3674" w:type="dxa"/>
            <w:vAlign w:val="center"/>
          </w:tcPr>
          <w:p w14:paraId="65DBF8AA" w14:textId="77777777" w:rsidR="00070F3D" w:rsidRPr="002E77DC" w:rsidRDefault="00070F3D" w:rsidP="00070F3D">
            <w:pPr>
              <w:autoSpaceDE w:val="0"/>
              <w:autoSpaceDN w:val="0"/>
              <w:adjustRightInd w:val="0"/>
              <w:spacing w:after="120" w:line="276" w:lineRule="auto"/>
              <w:jc w:val="center"/>
              <w:rPr>
                <w:rFonts w:eastAsia="Calibri"/>
              </w:rPr>
            </w:pPr>
            <w:r>
              <w:rPr>
                <w:rFonts w:eastAsia="Calibri"/>
              </w:rPr>
              <w:t>Pamatbudžeta n</w:t>
            </w:r>
            <w:r w:rsidRPr="002E77DC">
              <w:rPr>
                <w:rFonts w:eastAsia="Calibri"/>
              </w:rPr>
              <w:t xml:space="preserve">audas līdzekļi </w:t>
            </w:r>
          </w:p>
        </w:tc>
        <w:tc>
          <w:tcPr>
            <w:tcW w:w="1869" w:type="dxa"/>
            <w:vAlign w:val="center"/>
          </w:tcPr>
          <w:p w14:paraId="42DF8D9D" w14:textId="5A3ED02F" w:rsidR="00070F3D" w:rsidRPr="002E77DC" w:rsidRDefault="00070F3D" w:rsidP="00070F3D">
            <w:pPr>
              <w:autoSpaceDE w:val="0"/>
              <w:autoSpaceDN w:val="0"/>
              <w:adjustRightInd w:val="0"/>
              <w:spacing w:after="120" w:line="276" w:lineRule="auto"/>
              <w:jc w:val="center"/>
              <w:rPr>
                <w:rFonts w:eastAsia="Calibri"/>
              </w:rPr>
            </w:pPr>
            <w:r w:rsidRPr="002A7C81">
              <w:rPr>
                <w:rFonts w:eastAsia="Calibri"/>
              </w:rPr>
              <w:t>-1 506 246</w:t>
            </w:r>
          </w:p>
        </w:tc>
        <w:tc>
          <w:tcPr>
            <w:tcW w:w="2006" w:type="dxa"/>
            <w:vAlign w:val="center"/>
          </w:tcPr>
          <w:p w14:paraId="1548A38B" w14:textId="3CD8B69F" w:rsidR="00070F3D" w:rsidRPr="005522CE" w:rsidRDefault="001F36EA" w:rsidP="00070F3D">
            <w:pPr>
              <w:autoSpaceDE w:val="0"/>
              <w:autoSpaceDN w:val="0"/>
              <w:adjustRightInd w:val="0"/>
              <w:spacing w:after="120" w:line="276" w:lineRule="auto"/>
              <w:jc w:val="center"/>
              <w:rPr>
                <w:rFonts w:eastAsia="Calibri"/>
                <w:highlight w:val="yellow"/>
              </w:rPr>
            </w:pPr>
            <w:r w:rsidRPr="001F36EA">
              <w:rPr>
                <w:rFonts w:eastAsia="Calibri"/>
              </w:rPr>
              <w:t>4 829 842</w:t>
            </w:r>
          </w:p>
        </w:tc>
        <w:tc>
          <w:tcPr>
            <w:tcW w:w="1846" w:type="dxa"/>
          </w:tcPr>
          <w:p w14:paraId="1EB6C75E" w14:textId="74139CB3" w:rsidR="00070F3D" w:rsidRPr="005522CE" w:rsidRDefault="00070F3D" w:rsidP="00070F3D">
            <w:pPr>
              <w:jc w:val="center"/>
              <w:rPr>
                <w:highlight w:val="yellow"/>
              </w:rPr>
            </w:pPr>
            <w:r w:rsidRPr="002B3C39">
              <w:t>-42</w:t>
            </w:r>
            <w:r w:rsidR="00CF4D9A">
              <w:t>0</w:t>
            </w:r>
            <w:r w:rsidR="00895CF9">
              <w:t xml:space="preserve"> </w:t>
            </w:r>
            <w:r w:rsidRPr="002B3C39">
              <w:t>%</w:t>
            </w:r>
          </w:p>
        </w:tc>
      </w:tr>
      <w:tr w:rsidR="00070F3D" w:rsidRPr="002E77DC" w14:paraId="23470FDD" w14:textId="77777777" w:rsidTr="005105F4">
        <w:trPr>
          <w:jc w:val="center"/>
        </w:trPr>
        <w:tc>
          <w:tcPr>
            <w:tcW w:w="3674" w:type="dxa"/>
            <w:vAlign w:val="center"/>
          </w:tcPr>
          <w:p w14:paraId="75E3A721" w14:textId="77777777" w:rsidR="00070F3D" w:rsidRPr="002E77DC" w:rsidRDefault="00070F3D" w:rsidP="00070F3D">
            <w:pPr>
              <w:autoSpaceDE w:val="0"/>
              <w:autoSpaceDN w:val="0"/>
              <w:adjustRightInd w:val="0"/>
              <w:spacing w:after="120" w:line="276" w:lineRule="auto"/>
              <w:jc w:val="center"/>
              <w:rPr>
                <w:rFonts w:eastAsia="Calibri"/>
              </w:rPr>
            </w:pPr>
            <w:r>
              <w:rPr>
                <w:rFonts w:eastAsia="Calibri"/>
              </w:rPr>
              <w:t>Ziedojumu naudas līdzekļi</w:t>
            </w:r>
          </w:p>
        </w:tc>
        <w:tc>
          <w:tcPr>
            <w:tcW w:w="1869" w:type="dxa"/>
            <w:vAlign w:val="center"/>
          </w:tcPr>
          <w:p w14:paraId="398F952D" w14:textId="0EAFF506" w:rsidR="00070F3D" w:rsidRPr="002E77DC" w:rsidRDefault="00070F3D" w:rsidP="00070F3D">
            <w:pPr>
              <w:autoSpaceDE w:val="0"/>
              <w:autoSpaceDN w:val="0"/>
              <w:adjustRightInd w:val="0"/>
              <w:spacing w:after="120" w:line="276" w:lineRule="auto"/>
              <w:jc w:val="center"/>
              <w:rPr>
                <w:rFonts w:eastAsia="Calibri"/>
              </w:rPr>
            </w:pPr>
            <w:r w:rsidRPr="001579C2">
              <w:rPr>
                <w:rFonts w:eastAsia="Calibri"/>
              </w:rPr>
              <w:t>4 053</w:t>
            </w:r>
          </w:p>
        </w:tc>
        <w:tc>
          <w:tcPr>
            <w:tcW w:w="2006" w:type="dxa"/>
            <w:vAlign w:val="center"/>
          </w:tcPr>
          <w:p w14:paraId="545AA04F" w14:textId="4BEB7E02" w:rsidR="00070F3D" w:rsidRPr="005522CE" w:rsidRDefault="00070F3D" w:rsidP="00070F3D">
            <w:pPr>
              <w:autoSpaceDE w:val="0"/>
              <w:autoSpaceDN w:val="0"/>
              <w:adjustRightInd w:val="0"/>
              <w:spacing w:after="120" w:line="276" w:lineRule="auto"/>
              <w:jc w:val="center"/>
              <w:rPr>
                <w:rFonts w:eastAsia="Calibri"/>
                <w:highlight w:val="yellow"/>
              </w:rPr>
            </w:pPr>
            <w:r w:rsidRPr="00623D7B">
              <w:rPr>
                <w:rFonts w:eastAsia="Calibri"/>
              </w:rPr>
              <w:t>13 400</w:t>
            </w:r>
          </w:p>
        </w:tc>
        <w:tc>
          <w:tcPr>
            <w:tcW w:w="1846" w:type="dxa"/>
          </w:tcPr>
          <w:p w14:paraId="33C4E30C" w14:textId="3785FB98" w:rsidR="00070F3D" w:rsidRPr="005522CE" w:rsidRDefault="00070F3D" w:rsidP="00070F3D">
            <w:pPr>
              <w:jc w:val="center"/>
              <w:rPr>
                <w:highlight w:val="yellow"/>
              </w:rPr>
            </w:pPr>
          </w:p>
        </w:tc>
      </w:tr>
      <w:tr w:rsidR="00070F3D" w:rsidRPr="002E77DC" w14:paraId="227955C4" w14:textId="77777777" w:rsidTr="005105F4">
        <w:trPr>
          <w:jc w:val="center"/>
        </w:trPr>
        <w:tc>
          <w:tcPr>
            <w:tcW w:w="3674" w:type="dxa"/>
            <w:vAlign w:val="center"/>
          </w:tcPr>
          <w:p w14:paraId="78385637" w14:textId="77777777" w:rsidR="00070F3D" w:rsidRDefault="00070F3D" w:rsidP="00070F3D">
            <w:pPr>
              <w:autoSpaceDE w:val="0"/>
              <w:autoSpaceDN w:val="0"/>
              <w:adjustRightInd w:val="0"/>
              <w:spacing w:after="120" w:line="276" w:lineRule="auto"/>
              <w:jc w:val="center"/>
              <w:rPr>
                <w:rFonts w:eastAsia="Calibri"/>
              </w:rPr>
            </w:pPr>
            <w:r>
              <w:rPr>
                <w:rFonts w:eastAsia="Calibri"/>
              </w:rPr>
              <w:t>Saņemtie aizņēmumi</w:t>
            </w:r>
          </w:p>
        </w:tc>
        <w:tc>
          <w:tcPr>
            <w:tcW w:w="1869" w:type="dxa"/>
            <w:vAlign w:val="center"/>
          </w:tcPr>
          <w:p w14:paraId="24508061" w14:textId="3ACA176D" w:rsidR="00070F3D" w:rsidRPr="00C73D6C" w:rsidRDefault="00070F3D" w:rsidP="00070F3D">
            <w:pPr>
              <w:autoSpaceDE w:val="0"/>
              <w:autoSpaceDN w:val="0"/>
              <w:adjustRightInd w:val="0"/>
              <w:spacing w:after="120" w:line="276" w:lineRule="auto"/>
              <w:jc w:val="center"/>
              <w:rPr>
                <w:rFonts w:eastAsia="Calibri"/>
              </w:rPr>
            </w:pPr>
            <w:r w:rsidRPr="001B6BA0">
              <w:rPr>
                <w:rFonts w:eastAsia="Calibri"/>
              </w:rPr>
              <w:t>289 635</w:t>
            </w:r>
          </w:p>
        </w:tc>
        <w:tc>
          <w:tcPr>
            <w:tcW w:w="2006" w:type="dxa"/>
            <w:vAlign w:val="center"/>
          </w:tcPr>
          <w:p w14:paraId="3F59E194" w14:textId="656AD292" w:rsidR="00070F3D" w:rsidRPr="005522CE" w:rsidRDefault="00070F3D" w:rsidP="00070F3D">
            <w:pPr>
              <w:autoSpaceDE w:val="0"/>
              <w:autoSpaceDN w:val="0"/>
              <w:adjustRightInd w:val="0"/>
              <w:spacing w:after="120" w:line="276" w:lineRule="auto"/>
              <w:jc w:val="center"/>
              <w:rPr>
                <w:rFonts w:eastAsia="Calibri"/>
                <w:highlight w:val="yellow"/>
              </w:rPr>
            </w:pPr>
            <w:r w:rsidRPr="001B6BA0">
              <w:t>3 504 639</w:t>
            </w:r>
          </w:p>
        </w:tc>
        <w:tc>
          <w:tcPr>
            <w:tcW w:w="1846" w:type="dxa"/>
          </w:tcPr>
          <w:p w14:paraId="762FCA85" w14:textId="03014B28" w:rsidR="00070F3D" w:rsidRPr="005522CE" w:rsidRDefault="00070F3D" w:rsidP="00070F3D">
            <w:pPr>
              <w:jc w:val="center"/>
              <w:rPr>
                <w:highlight w:val="yellow"/>
              </w:rPr>
            </w:pPr>
            <w:r w:rsidRPr="002B3C39">
              <w:t>1110%</w:t>
            </w:r>
          </w:p>
        </w:tc>
      </w:tr>
      <w:tr w:rsidR="00070F3D" w:rsidRPr="002E77DC" w14:paraId="30CA4EF4" w14:textId="77777777" w:rsidTr="005105F4">
        <w:trPr>
          <w:jc w:val="center"/>
        </w:trPr>
        <w:tc>
          <w:tcPr>
            <w:tcW w:w="3674" w:type="dxa"/>
            <w:vAlign w:val="center"/>
          </w:tcPr>
          <w:p w14:paraId="23DC0703" w14:textId="77777777" w:rsidR="00070F3D" w:rsidRPr="002E77DC" w:rsidRDefault="00070F3D" w:rsidP="00070F3D">
            <w:pPr>
              <w:autoSpaceDE w:val="0"/>
              <w:autoSpaceDN w:val="0"/>
              <w:adjustRightInd w:val="0"/>
              <w:spacing w:after="120" w:line="276" w:lineRule="auto"/>
              <w:jc w:val="center"/>
              <w:rPr>
                <w:rFonts w:eastAsia="Calibri"/>
              </w:rPr>
            </w:pPr>
            <w:r>
              <w:rPr>
                <w:rFonts w:eastAsia="Calibri"/>
              </w:rPr>
              <w:t>Aizņēmumu atmaksa</w:t>
            </w:r>
          </w:p>
        </w:tc>
        <w:tc>
          <w:tcPr>
            <w:tcW w:w="1869" w:type="dxa"/>
            <w:vAlign w:val="center"/>
          </w:tcPr>
          <w:p w14:paraId="4B05CA84" w14:textId="3CBB295F" w:rsidR="00070F3D" w:rsidRPr="002E77DC" w:rsidRDefault="00070F3D" w:rsidP="00070F3D">
            <w:pPr>
              <w:autoSpaceDE w:val="0"/>
              <w:autoSpaceDN w:val="0"/>
              <w:adjustRightInd w:val="0"/>
              <w:spacing w:after="120" w:line="276" w:lineRule="auto"/>
              <w:jc w:val="center"/>
              <w:rPr>
                <w:rFonts w:eastAsia="Calibri"/>
              </w:rPr>
            </w:pPr>
            <w:r>
              <w:rPr>
                <w:rFonts w:eastAsia="Calibri"/>
              </w:rPr>
              <w:t>-</w:t>
            </w:r>
            <w:r w:rsidRPr="0079517D">
              <w:rPr>
                <w:rFonts w:eastAsia="Calibri"/>
              </w:rPr>
              <w:t>1 821 885</w:t>
            </w:r>
          </w:p>
        </w:tc>
        <w:tc>
          <w:tcPr>
            <w:tcW w:w="2006" w:type="dxa"/>
            <w:vAlign w:val="center"/>
          </w:tcPr>
          <w:p w14:paraId="38370E48" w14:textId="14F68C25" w:rsidR="00070F3D" w:rsidRPr="005522CE" w:rsidRDefault="00070F3D" w:rsidP="00070F3D">
            <w:pPr>
              <w:autoSpaceDE w:val="0"/>
              <w:autoSpaceDN w:val="0"/>
              <w:adjustRightInd w:val="0"/>
              <w:spacing w:after="120" w:line="276" w:lineRule="auto"/>
              <w:jc w:val="center"/>
              <w:rPr>
                <w:rFonts w:eastAsia="Calibri"/>
                <w:highlight w:val="yellow"/>
              </w:rPr>
            </w:pPr>
            <w:r>
              <w:rPr>
                <w:rFonts w:eastAsia="Calibri"/>
              </w:rPr>
              <w:t>-</w:t>
            </w:r>
            <w:r w:rsidRPr="0079517D">
              <w:rPr>
                <w:rFonts w:eastAsia="Calibri"/>
              </w:rPr>
              <w:t>2 802 235</w:t>
            </w:r>
          </w:p>
        </w:tc>
        <w:tc>
          <w:tcPr>
            <w:tcW w:w="1846" w:type="dxa"/>
          </w:tcPr>
          <w:p w14:paraId="332BC250" w14:textId="6F790B70" w:rsidR="00070F3D" w:rsidRPr="005522CE" w:rsidRDefault="00070F3D" w:rsidP="00070F3D">
            <w:pPr>
              <w:jc w:val="center"/>
              <w:rPr>
                <w:highlight w:val="yellow"/>
              </w:rPr>
            </w:pPr>
            <w:r w:rsidRPr="002B3C39">
              <w:t>53,8%</w:t>
            </w:r>
          </w:p>
        </w:tc>
      </w:tr>
      <w:tr w:rsidR="00070F3D" w:rsidRPr="002E77DC" w14:paraId="65B1B34A" w14:textId="77777777" w:rsidTr="005105F4">
        <w:trPr>
          <w:jc w:val="center"/>
        </w:trPr>
        <w:tc>
          <w:tcPr>
            <w:tcW w:w="3674" w:type="dxa"/>
            <w:vAlign w:val="center"/>
          </w:tcPr>
          <w:p w14:paraId="5C43C2F3" w14:textId="77777777" w:rsidR="00070F3D" w:rsidRDefault="00070F3D" w:rsidP="00070F3D">
            <w:pPr>
              <w:autoSpaceDE w:val="0"/>
              <w:autoSpaceDN w:val="0"/>
              <w:adjustRightInd w:val="0"/>
              <w:spacing w:after="120" w:line="276" w:lineRule="auto"/>
              <w:jc w:val="center"/>
              <w:rPr>
                <w:rFonts w:eastAsia="Calibri"/>
              </w:rPr>
            </w:pPr>
            <w:r>
              <w:rPr>
                <w:rFonts w:eastAsia="Calibri"/>
              </w:rPr>
              <w:t xml:space="preserve">Līdzdalība komersantu pašu kapitālā </w:t>
            </w:r>
          </w:p>
        </w:tc>
        <w:tc>
          <w:tcPr>
            <w:tcW w:w="1869" w:type="dxa"/>
            <w:vAlign w:val="center"/>
          </w:tcPr>
          <w:p w14:paraId="2E9ADC17" w14:textId="533EA093" w:rsidR="00070F3D" w:rsidRDefault="00070F3D" w:rsidP="00070F3D">
            <w:pPr>
              <w:autoSpaceDE w:val="0"/>
              <w:autoSpaceDN w:val="0"/>
              <w:adjustRightInd w:val="0"/>
              <w:spacing w:after="120" w:line="276" w:lineRule="auto"/>
              <w:jc w:val="center"/>
              <w:rPr>
                <w:rFonts w:eastAsia="Calibri"/>
              </w:rPr>
            </w:pPr>
            <w:r w:rsidRPr="0055371E">
              <w:rPr>
                <w:rFonts w:eastAsia="Calibri"/>
              </w:rPr>
              <w:t>-40 000</w:t>
            </w:r>
          </w:p>
        </w:tc>
        <w:tc>
          <w:tcPr>
            <w:tcW w:w="2006" w:type="dxa"/>
            <w:vAlign w:val="center"/>
          </w:tcPr>
          <w:p w14:paraId="05FA22D8" w14:textId="5C3D71E7" w:rsidR="00070F3D" w:rsidRDefault="00070F3D" w:rsidP="00070F3D">
            <w:pPr>
              <w:autoSpaceDE w:val="0"/>
              <w:autoSpaceDN w:val="0"/>
              <w:adjustRightInd w:val="0"/>
              <w:spacing w:after="120" w:line="276" w:lineRule="auto"/>
              <w:jc w:val="center"/>
              <w:rPr>
                <w:rFonts w:eastAsia="Calibri"/>
              </w:rPr>
            </w:pPr>
            <w:r w:rsidRPr="0055371E">
              <w:rPr>
                <w:rFonts w:eastAsia="Calibri"/>
              </w:rPr>
              <w:t>-27 854</w:t>
            </w:r>
          </w:p>
        </w:tc>
        <w:tc>
          <w:tcPr>
            <w:tcW w:w="1846" w:type="dxa"/>
            <w:vAlign w:val="center"/>
          </w:tcPr>
          <w:p w14:paraId="68176CB1" w14:textId="74ABF7AE" w:rsidR="00070F3D" w:rsidRPr="00D73891" w:rsidRDefault="00070F3D" w:rsidP="00070F3D">
            <w:pPr>
              <w:jc w:val="center"/>
            </w:pPr>
            <w:r w:rsidRPr="002B3C39">
              <w:t>-30,4%</w:t>
            </w:r>
          </w:p>
        </w:tc>
      </w:tr>
    </w:tbl>
    <w:p w14:paraId="6D381AC9" w14:textId="77777777" w:rsidR="006E210F" w:rsidRPr="002E77DC" w:rsidRDefault="006E210F" w:rsidP="006E210F">
      <w:pPr>
        <w:autoSpaceDE w:val="0"/>
        <w:autoSpaceDN w:val="0"/>
        <w:adjustRightInd w:val="0"/>
        <w:spacing w:after="120" w:line="276" w:lineRule="auto"/>
        <w:ind w:firstLine="567"/>
        <w:jc w:val="center"/>
        <w:rPr>
          <w:rFonts w:eastAsia="Calibri"/>
          <w:b/>
        </w:rPr>
      </w:pPr>
    </w:p>
    <w:p w14:paraId="1C68895B" w14:textId="77777777" w:rsidR="006E210F" w:rsidRPr="002E77DC" w:rsidRDefault="006E210F" w:rsidP="006E210F">
      <w:pPr>
        <w:spacing w:line="360" w:lineRule="auto"/>
        <w:ind w:firstLine="840"/>
        <w:jc w:val="center"/>
        <w:rPr>
          <w:b/>
        </w:rPr>
      </w:pPr>
      <w:r w:rsidRPr="002E77DC">
        <w:rPr>
          <w:rFonts w:eastAsia="Calibri"/>
          <w:b/>
        </w:rPr>
        <w:t>Pamatbudžeta i</w:t>
      </w:r>
      <w:r w:rsidRPr="002E77DC">
        <w:rPr>
          <w:b/>
        </w:rPr>
        <w:t>eņēmumi</w:t>
      </w:r>
    </w:p>
    <w:p w14:paraId="716A371B" w14:textId="573E932E" w:rsidR="006E210F" w:rsidRPr="002E77DC" w:rsidRDefault="006E210F" w:rsidP="006E210F">
      <w:pPr>
        <w:spacing w:line="360" w:lineRule="auto"/>
        <w:ind w:firstLine="840"/>
        <w:jc w:val="both"/>
      </w:pPr>
      <w:r w:rsidRPr="002E77DC">
        <w:rPr>
          <w:u w:val="single"/>
        </w:rPr>
        <w:t xml:space="preserve"> Pamatbudžeta ieņēmumi</w:t>
      </w:r>
      <w:r w:rsidRPr="002E77DC">
        <w:t xml:space="preserve"> plānoti  </w:t>
      </w:r>
      <w:r w:rsidR="00117855" w:rsidRPr="00117855">
        <w:rPr>
          <w:rFonts w:eastAsia="Calibri"/>
          <w:u w:val="single"/>
        </w:rPr>
        <w:t>69 373</w:t>
      </w:r>
      <w:r w:rsidR="00117855">
        <w:rPr>
          <w:rFonts w:eastAsia="Calibri"/>
          <w:u w:val="single"/>
        </w:rPr>
        <w:t> </w:t>
      </w:r>
      <w:r w:rsidR="00117855" w:rsidRPr="00117855">
        <w:rPr>
          <w:rFonts w:eastAsia="Calibri"/>
          <w:u w:val="single"/>
        </w:rPr>
        <w:t>236</w:t>
      </w:r>
      <w:r w:rsidR="00117855">
        <w:rPr>
          <w:rFonts w:eastAsia="Calibri"/>
          <w:u w:val="single"/>
        </w:rPr>
        <w:t xml:space="preserve"> </w:t>
      </w:r>
      <w:r w:rsidRPr="0030514B">
        <w:t>EUR</w:t>
      </w:r>
      <w:r w:rsidRPr="002E77DC">
        <w:t xml:space="preserve">, kas pret iepriekšējā gada izpildi ir </w:t>
      </w:r>
      <w:r w:rsidR="005105F4">
        <w:t>vairāk</w:t>
      </w:r>
      <w:r>
        <w:t xml:space="preserve"> </w:t>
      </w:r>
      <w:r w:rsidRPr="002E77DC">
        <w:t xml:space="preserve">par </w:t>
      </w:r>
      <w:r>
        <w:t>2</w:t>
      </w:r>
      <w:r w:rsidR="005105F4">
        <w:t>,</w:t>
      </w:r>
      <w:r w:rsidR="00447F23">
        <w:t>8</w:t>
      </w:r>
      <w:r w:rsidR="005105F4">
        <w:t xml:space="preserve"> </w:t>
      </w:r>
      <w:r>
        <w:t>%</w:t>
      </w:r>
      <w:r w:rsidRPr="002E77DC">
        <w:t>. Tos veido nodokļu ieņēmumi, nenodokļu ieņēmumi, maksas pakalpojumi un citi pašu ieņēmumi</w:t>
      </w:r>
      <w:r>
        <w:t>,</w:t>
      </w:r>
      <w:r w:rsidRPr="002E77DC">
        <w:t xml:space="preserve"> </w:t>
      </w:r>
      <w:r>
        <w:t>valsts un pašvaldību</w:t>
      </w:r>
      <w:r w:rsidRPr="002E77DC">
        <w:t xml:space="preserve"> transferti.</w:t>
      </w:r>
      <w:r>
        <w:t xml:space="preserve"> </w:t>
      </w:r>
    </w:p>
    <w:p w14:paraId="12D0F8DA" w14:textId="4D85C1AB" w:rsidR="006E210F" w:rsidRPr="002E77DC" w:rsidRDefault="006E210F" w:rsidP="006E210F">
      <w:pPr>
        <w:spacing w:line="360" w:lineRule="auto"/>
        <w:ind w:firstLine="840"/>
        <w:jc w:val="both"/>
      </w:pPr>
      <w:r w:rsidRPr="002E77DC">
        <w:t xml:space="preserve"> Iedzīvotāju ienākuma nodokļa (I</w:t>
      </w:r>
      <w:r>
        <w:t>I</w:t>
      </w:r>
      <w:r w:rsidRPr="002E77DC">
        <w:t>N) prognoze</w:t>
      </w:r>
      <w:r>
        <w:t xml:space="preserve"> saskaņā ar Finanšu ministrijas datiem </w:t>
      </w:r>
      <w:r w:rsidRPr="002E77DC">
        <w:t>202</w:t>
      </w:r>
      <w:r w:rsidR="00A062E8">
        <w:t>6</w:t>
      </w:r>
      <w:r w:rsidRPr="002E77DC">
        <w:t>.</w:t>
      </w:r>
      <w:r w:rsidR="00EF68FE">
        <w:t xml:space="preserve"> gadam</w:t>
      </w:r>
      <w:r w:rsidRPr="002E77DC">
        <w:t xml:space="preserve"> </w:t>
      </w:r>
      <w:r w:rsidR="00B27107" w:rsidRPr="00B27107">
        <w:t>28 183</w:t>
      </w:r>
      <w:r w:rsidR="00B27107">
        <w:t> </w:t>
      </w:r>
      <w:r w:rsidR="00B27107" w:rsidRPr="00B27107">
        <w:t>965</w:t>
      </w:r>
      <w:r w:rsidR="00B27107">
        <w:t xml:space="preserve"> </w:t>
      </w:r>
      <w:r w:rsidRPr="002E77DC">
        <w:t xml:space="preserve">EUR, t. i., par  </w:t>
      </w:r>
      <w:r>
        <w:t>4,</w:t>
      </w:r>
      <w:r w:rsidR="00271837">
        <w:t>8</w:t>
      </w:r>
      <w:r w:rsidR="00915CEB">
        <w:t> </w:t>
      </w:r>
      <w:r>
        <w:t>%</w:t>
      </w:r>
      <w:r w:rsidRPr="002E77DC">
        <w:t xml:space="preserve"> </w:t>
      </w:r>
      <w:r>
        <w:t xml:space="preserve"> jeb </w:t>
      </w:r>
      <w:r w:rsidR="00A10FCB" w:rsidRPr="00A10FCB">
        <w:t>1 300</w:t>
      </w:r>
      <w:r w:rsidR="00A10FCB">
        <w:t> </w:t>
      </w:r>
      <w:r w:rsidR="00A10FCB" w:rsidRPr="00A10FCB">
        <w:t>479</w:t>
      </w:r>
      <w:r w:rsidR="00A10FCB">
        <w:t xml:space="preserve"> </w:t>
      </w:r>
      <w:r>
        <w:t>EUR vairāk</w:t>
      </w:r>
      <w:r w:rsidRPr="002E77DC">
        <w:t xml:space="preserve"> </w:t>
      </w:r>
      <w:r w:rsidR="00EF68FE">
        <w:t>ne</w:t>
      </w:r>
      <w:r w:rsidRPr="002E77DC">
        <w:t xml:space="preserve">kā iepriekšējā gadā saņemtais </w:t>
      </w:r>
      <w:r>
        <w:t>IIN</w:t>
      </w:r>
      <w:r w:rsidRPr="002E77DC">
        <w:t xml:space="preserve">. </w:t>
      </w:r>
      <w:r w:rsidR="001E6AAD">
        <w:t xml:space="preserve">Tā </w:t>
      </w:r>
      <w:r w:rsidR="00477788">
        <w:t>ī</w:t>
      </w:r>
      <w:r w:rsidR="001E6AAD">
        <w:t>pa</w:t>
      </w:r>
      <w:r w:rsidR="00477788">
        <w:t>ts</w:t>
      </w:r>
      <w:r w:rsidR="001E6AAD">
        <w:t xml:space="preserve">vars no kopējiem pamatbudžeta ieņēmumiem ir </w:t>
      </w:r>
      <w:r w:rsidR="003816F5">
        <w:t>41 %.</w:t>
      </w:r>
    </w:p>
    <w:p w14:paraId="75E7885A" w14:textId="2FE6AB83" w:rsidR="006E210F" w:rsidRPr="002E77DC" w:rsidRDefault="006E210F" w:rsidP="006E210F">
      <w:pPr>
        <w:spacing w:line="360" w:lineRule="auto"/>
        <w:ind w:firstLine="840"/>
        <w:jc w:val="both"/>
      </w:pPr>
      <w:r w:rsidRPr="002E77DC">
        <w:lastRenderedPageBreak/>
        <w:t xml:space="preserve">Nekustamā īpašuma nodokļi (NĪN) tiek plānoti </w:t>
      </w:r>
      <w:r w:rsidR="008A4EE6" w:rsidRPr="008A4EE6">
        <w:t>2 762</w:t>
      </w:r>
      <w:r w:rsidR="008A4EE6">
        <w:t> </w:t>
      </w:r>
      <w:r w:rsidR="008A4EE6" w:rsidRPr="008A4EE6">
        <w:t>447</w:t>
      </w:r>
      <w:r w:rsidR="008A4EE6">
        <w:t xml:space="preserve"> </w:t>
      </w:r>
      <w:r w:rsidRPr="002E77DC">
        <w:t xml:space="preserve">EUR apmērā,  t.i., </w:t>
      </w:r>
      <w:r>
        <w:t xml:space="preserve">par </w:t>
      </w:r>
      <w:r w:rsidR="008A4EE6">
        <w:t>12</w:t>
      </w:r>
      <w:r w:rsidR="00D80587">
        <w:t> </w:t>
      </w:r>
      <w:r>
        <w:t xml:space="preserve">% mazāk </w:t>
      </w:r>
      <w:r w:rsidR="00196667">
        <w:t>ne</w:t>
      </w:r>
      <w:r>
        <w:t xml:space="preserve">kā </w:t>
      </w:r>
      <w:r w:rsidRPr="002E77DC">
        <w:t>iekasēts 202</w:t>
      </w:r>
      <w:r w:rsidR="008A4EE6">
        <w:t>5</w:t>
      </w:r>
      <w:r w:rsidRPr="002E77DC">
        <w:t>.</w:t>
      </w:r>
      <w:r w:rsidR="00D80587">
        <w:t> </w:t>
      </w:r>
      <w:r w:rsidRPr="002E77DC">
        <w:t xml:space="preserve">gadā, un tā īpatsvars pamatbudžeta ieņēmumos sastādīs </w:t>
      </w:r>
      <w:r w:rsidRPr="0093419A">
        <w:t>4</w:t>
      </w:r>
      <w:r w:rsidR="003816F5">
        <w:t xml:space="preserve"> </w:t>
      </w:r>
      <w:r w:rsidRPr="0093419A">
        <w:t>%.</w:t>
      </w:r>
      <w:r w:rsidRPr="002E77DC">
        <w:t xml:space="preserve"> Nekustamā īpašuma nodokli</w:t>
      </w:r>
      <w:r>
        <w:t xml:space="preserve"> </w:t>
      </w:r>
      <w:r w:rsidRPr="002E77DC">
        <w:t xml:space="preserve">veido nekustamā īpašuma nodoklis par zemi – </w:t>
      </w:r>
      <w:r w:rsidR="00A57DCC" w:rsidRPr="00A57DCC">
        <w:t>2 275 454</w:t>
      </w:r>
      <w:r>
        <w:t xml:space="preserve">  </w:t>
      </w:r>
      <w:r w:rsidRPr="002E77DC">
        <w:t xml:space="preserve">EUR, par ēkām un inženierbūvēm – </w:t>
      </w:r>
      <w:r w:rsidR="00810504" w:rsidRPr="00810504">
        <w:t>322 337</w:t>
      </w:r>
      <w:r>
        <w:t xml:space="preserve"> </w:t>
      </w:r>
      <w:r w:rsidRPr="002E77DC">
        <w:t xml:space="preserve">EUR  un mājokļiem – </w:t>
      </w:r>
      <w:r w:rsidR="00810504" w:rsidRPr="00810504">
        <w:t>164</w:t>
      </w:r>
      <w:r w:rsidR="00810504">
        <w:t> </w:t>
      </w:r>
      <w:r w:rsidR="00810504" w:rsidRPr="00810504">
        <w:t>656</w:t>
      </w:r>
      <w:r w:rsidR="00810504">
        <w:t xml:space="preserve"> </w:t>
      </w:r>
      <w:r w:rsidRPr="002E77DC">
        <w:t>EUR.</w:t>
      </w:r>
      <w:r>
        <w:t xml:space="preserve"> </w:t>
      </w:r>
    </w:p>
    <w:p w14:paraId="4E66D7A3" w14:textId="1EBC574E" w:rsidR="006E210F" w:rsidRDefault="006E210F" w:rsidP="006E210F">
      <w:pPr>
        <w:spacing w:line="360" w:lineRule="auto"/>
        <w:ind w:firstLine="840"/>
        <w:jc w:val="both"/>
      </w:pPr>
      <w:r w:rsidRPr="002E77DC">
        <w:t>Finanšu ministrija pamatojoties uz vērtēto ieņēmumu prognozi (</w:t>
      </w:r>
      <w:r>
        <w:t>IIN</w:t>
      </w:r>
      <w:r w:rsidRPr="002E77DC">
        <w:t xml:space="preserve"> un kārtējā gada iekasējamo </w:t>
      </w:r>
      <w:r>
        <w:t>NĪN</w:t>
      </w:r>
      <w:r w:rsidRPr="002E77DC">
        <w:t xml:space="preserve"> prognozi) veikusi pašvaldību finanšu izlīdzināšanas aprēķinu, kā rezultātā no finanšu izlīdzināšanas fonda plānots saņemt </w:t>
      </w:r>
      <w:r w:rsidR="00477788" w:rsidRPr="00477788">
        <w:t>9 273</w:t>
      </w:r>
      <w:r w:rsidR="00477788">
        <w:t> </w:t>
      </w:r>
      <w:r w:rsidR="00477788" w:rsidRPr="00477788">
        <w:t>333</w:t>
      </w:r>
      <w:r w:rsidR="00477788">
        <w:t xml:space="preserve"> </w:t>
      </w:r>
      <w:r w:rsidRPr="002E77DC">
        <w:t xml:space="preserve">EUR, t.i., par </w:t>
      </w:r>
      <w:r w:rsidR="00CE24B9">
        <w:t>5</w:t>
      </w:r>
      <w:r w:rsidR="005075BF">
        <w:t xml:space="preserve"> </w:t>
      </w:r>
      <w:r w:rsidRPr="002E77DC">
        <w:t xml:space="preserve">% </w:t>
      </w:r>
      <w:r w:rsidRPr="00A46963">
        <w:t xml:space="preserve"> </w:t>
      </w:r>
      <w:r>
        <w:t xml:space="preserve">jeb </w:t>
      </w:r>
      <w:r w:rsidR="0000721F" w:rsidRPr="0000721F">
        <w:t>464</w:t>
      </w:r>
      <w:r w:rsidR="0000721F">
        <w:t> </w:t>
      </w:r>
      <w:r w:rsidR="0000721F" w:rsidRPr="0000721F">
        <w:t>862</w:t>
      </w:r>
      <w:r w:rsidR="0000721F">
        <w:t xml:space="preserve"> </w:t>
      </w:r>
      <w:r>
        <w:t xml:space="preserve">EUR </w:t>
      </w:r>
      <w:r w:rsidR="0000721F">
        <w:t xml:space="preserve">vairāk </w:t>
      </w:r>
      <w:r w:rsidR="005D69A7">
        <w:t>kā</w:t>
      </w:r>
      <w:r w:rsidRPr="002E77DC">
        <w:t xml:space="preserve"> iepriekšējā gadā</w:t>
      </w:r>
      <w:r>
        <w:t>.</w:t>
      </w:r>
      <w:r w:rsidR="00AE7D6A">
        <w:t xml:space="preserve"> </w:t>
      </w:r>
    </w:p>
    <w:p w14:paraId="28794760" w14:textId="6B5F3C4C" w:rsidR="00AE7D6A" w:rsidRPr="002E77DC" w:rsidRDefault="00AE7D6A" w:rsidP="006E210F">
      <w:pPr>
        <w:spacing w:line="360" w:lineRule="auto"/>
        <w:ind w:firstLine="840"/>
        <w:jc w:val="both"/>
      </w:pPr>
      <w:r>
        <w:t>Vērtēto ieņēmumu prognozē</w:t>
      </w:r>
      <w:r w:rsidR="0082520C">
        <w:t xml:space="preserve"> iekļauta</w:t>
      </w:r>
      <w:r w:rsidR="000E2908">
        <w:t xml:space="preserve"> valsts</w:t>
      </w:r>
      <w:r w:rsidR="0082520C">
        <w:t xml:space="preserve"> budžeta dotācija, kuru valsts</w:t>
      </w:r>
      <w:r w:rsidR="00555574">
        <w:t xml:space="preserve"> </w:t>
      </w:r>
      <w:r w:rsidR="003B6089">
        <w:t>šogad novada</w:t>
      </w:r>
      <w:r w:rsidR="000E2908">
        <w:t>m</w:t>
      </w:r>
      <w:r w:rsidR="003B6089">
        <w:t xml:space="preserve"> </w:t>
      </w:r>
      <w:r w:rsidR="000E2908">
        <w:t>p</w:t>
      </w:r>
      <w:r w:rsidR="003F53EA">
        <w:t xml:space="preserve">aredzējusi </w:t>
      </w:r>
      <w:r w:rsidR="003B6089" w:rsidRPr="003B6089">
        <w:t>640</w:t>
      </w:r>
      <w:r w:rsidR="005B1CFA">
        <w:t> </w:t>
      </w:r>
      <w:r w:rsidR="003B6089" w:rsidRPr="003B6089">
        <w:t>887</w:t>
      </w:r>
      <w:r w:rsidR="005B1CFA">
        <w:t xml:space="preserve"> EUR, t.i.</w:t>
      </w:r>
      <w:r w:rsidR="00C83A82">
        <w:t>,</w:t>
      </w:r>
      <w:r w:rsidR="005B1CFA">
        <w:t xml:space="preserve"> par </w:t>
      </w:r>
      <w:r w:rsidR="00595A02" w:rsidRPr="00595A02">
        <w:t>16 503</w:t>
      </w:r>
      <w:r w:rsidR="000E2908">
        <w:t xml:space="preserve"> EUR mazāk kā 2025. gadā.</w:t>
      </w:r>
    </w:p>
    <w:p w14:paraId="5A6B5444" w14:textId="46AF3C85" w:rsidR="006E210F" w:rsidRDefault="006E210F" w:rsidP="006E210F">
      <w:pPr>
        <w:spacing w:line="360" w:lineRule="auto"/>
        <w:ind w:firstLine="840"/>
        <w:jc w:val="both"/>
      </w:pPr>
      <w:r w:rsidRPr="00BA6E61">
        <w:t>Dabas resursu nodokļa ieņēmumi pašvaldības budžetā 202</w:t>
      </w:r>
      <w:r w:rsidR="003F53EA">
        <w:t>6</w:t>
      </w:r>
      <w:r w:rsidRPr="00BA6E61">
        <w:t xml:space="preserve">. gadā tiek plānoti </w:t>
      </w:r>
      <w:r>
        <w:t xml:space="preserve">piesardzīgi </w:t>
      </w:r>
      <w:r w:rsidR="00CB0A2C">
        <w:t>5</w:t>
      </w:r>
      <w:r>
        <w:t>00 000 EUR</w:t>
      </w:r>
      <w:r w:rsidRPr="00BA6E61">
        <w:t xml:space="preserve"> apjomā.</w:t>
      </w:r>
    </w:p>
    <w:p w14:paraId="628C9C8D" w14:textId="2909E26A" w:rsidR="006E210F" w:rsidRDefault="006E210F" w:rsidP="006E210F">
      <w:pPr>
        <w:spacing w:line="360" w:lineRule="auto"/>
        <w:ind w:firstLine="840"/>
        <w:jc w:val="both"/>
      </w:pPr>
      <w:r w:rsidRPr="00BA6E61">
        <w:t xml:space="preserve">Nenodokļu ieņēmumu apjoms </w:t>
      </w:r>
      <w:r>
        <w:t>Dienvidkurzemes novada</w:t>
      </w:r>
      <w:r w:rsidRPr="00BA6E61">
        <w:t xml:space="preserve"> pašvaldības budžetā 202</w:t>
      </w:r>
      <w:r w:rsidR="007C64E4">
        <w:t>6</w:t>
      </w:r>
      <w:r w:rsidRPr="00BA6E61">
        <w:t xml:space="preserve">. gadā tiek </w:t>
      </w:r>
      <w:r w:rsidRPr="00A93B49">
        <w:t xml:space="preserve">plānots </w:t>
      </w:r>
      <w:r w:rsidR="00A93B49" w:rsidRPr="00A93B49">
        <w:t>810</w:t>
      </w:r>
      <w:r w:rsidR="00A93B49">
        <w:t> </w:t>
      </w:r>
      <w:r w:rsidR="00A93B49" w:rsidRPr="00A93B49">
        <w:t>895</w:t>
      </w:r>
      <w:r w:rsidR="00A93B49">
        <w:t xml:space="preserve"> </w:t>
      </w:r>
      <w:r>
        <w:t>EUR</w:t>
      </w:r>
      <w:r w:rsidRPr="00BA6E61">
        <w:t>.</w:t>
      </w:r>
    </w:p>
    <w:p w14:paraId="475EC3FC" w14:textId="77777777" w:rsidR="006E210F" w:rsidRPr="002E77DC" w:rsidRDefault="006E210F" w:rsidP="006E210F">
      <w:pPr>
        <w:spacing w:line="360" w:lineRule="auto"/>
        <w:ind w:firstLine="851"/>
        <w:jc w:val="both"/>
      </w:pPr>
      <w:r>
        <w:t>Tos veido sekojošas ieņēmumu pozīcijas:</w:t>
      </w:r>
    </w:p>
    <w:tbl>
      <w:tblPr>
        <w:tblStyle w:val="Reatabula"/>
        <w:tblW w:w="0" w:type="auto"/>
        <w:jc w:val="center"/>
        <w:tblLook w:val="04A0" w:firstRow="1" w:lastRow="0" w:firstColumn="1" w:lastColumn="0" w:noHBand="0" w:noVBand="1"/>
      </w:tblPr>
      <w:tblGrid>
        <w:gridCol w:w="4608"/>
        <w:gridCol w:w="1418"/>
        <w:gridCol w:w="1658"/>
        <w:gridCol w:w="1711"/>
      </w:tblGrid>
      <w:tr w:rsidR="006E210F" w:rsidRPr="002E77DC" w14:paraId="39C30072" w14:textId="77777777" w:rsidTr="004037D5">
        <w:trPr>
          <w:trHeight w:val="892"/>
          <w:jc w:val="center"/>
        </w:trPr>
        <w:tc>
          <w:tcPr>
            <w:tcW w:w="4608" w:type="dxa"/>
            <w:vAlign w:val="center"/>
          </w:tcPr>
          <w:p w14:paraId="19917091" w14:textId="77777777" w:rsidR="006E210F" w:rsidRPr="002E77DC" w:rsidRDefault="006E210F" w:rsidP="00183521">
            <w:pPr>
              <w:jc w:val="center"/>
              <w:outlineLvl w:val="0"/>
            </w:pPr>
            <w:bookmarkStart w:id="1" w:name="_Hlk189752408"/>
            <w:r w:rsidRPr="002E77DC">
              <w:rPr>
                <w:color w:val="000000"/>
              </w:rPr>
              <w:t>Nenodokļu ieņēmumi</w:t>
            </w:r>
          </w:p>
        </w:tc>
        <w:tc>
          <w:tcPr>
            <w:tcW w:w="1418" w:type="dxa"/>
            <w:vAlign w:val="center"/>
          </w:tcPr>
          <w:p w14:paraId="7B98323B" w14:textId="0DAD9D52" w:rsidR="006E210F" w:rsidRPr="002E77DC" w:rsidRDefault="006E210F" w:rsidP="00183521">
            <w:pPr>
              <w:autoSpaceDE w:val="0"/>
              <w:autoSpaceDN w:val="0"/>
              <w:adjustRightInd w:val="0"/>
              <w:spacing w:after="120"/>
              <w:jc w:val="center"/>
              <w:rPr>
                <w:rFonts w:eastAsia="Calibri"/>
              </w:rPr>
            </w:pPr>
            <w:r w:rsidRPr="002E77DC">
              <w:rPr>
                <w:rFonts w:eastAsia="Calibri"/>
              </w:rPr>
              <w:t>202</w:t>
            </w:r>
            <w:r w:rsidR="00317C88">
              <w:rPr>
                <w:rFonts w:eastAsia="Calibri"/>
              </w:rPr>
              <w:t>5</w:t>
            </w:r>
            <w:r w:rsidRPr="002E77DC">
              <w:rPr>
                <w:rFonts w:eastAsia="Calibri"/>
              </w:rPr>
              <w:t>.</w:t>
            </w:r>
            <w:r w:rsidR="00317C88">
              <w:rPr>
                <w:rFonts w:eastAsia="Calibri"/>
              </w:rPr>
              <w:t> </w:t>
            </w:r>
            <w:r w:rsidRPr="002E77DC">
              <w:rPr>
                <w:rFonts w:eastAsia="Calibri"/>
              </w:rPr>
              <w:t>gada izpilde</w:t>
            </w:r>
            <w:r>
              <w:rPr>
                <w:rFonts w:eastAsia="Calibri"/>
              </w:rPr>
              <w:t xml:space="preserve"> EUR</w:t>
            </w:r>
          </w:p>
        </w:tc>
        <w:tc>
          <w:tcPr>
            <w:tcW w:w="1658" w:type="dxa"/>
            <w:vAlign w:val="center"/>
          </w:tcPr>
          <w:p w14:paraId="18CBED2F" w14:textId="3D6E7395" w:rsidR="006E210F" w:rsidRPr="006E0C1F" w:rsidRDefault="006E210F" w:rsidP="00183521">
            <w:pPr>
              <w:autoSpaceDE w:val="0"/>
              <w:autoSpaceDN w:val="0"/>
              <w:adjustRightInd w:val="0"/>
              <w:spacing w:after="120"/>
              <w:jc w:val="center"/>
              <w:rPr>
                <w:rFonts w:eastAsia="Calibri"/>
              </w:rPr>
            </w:pPr>
            <w:r w:rsidRPr="006E0C1F">
              <w:rPr>
                <w:rFonts w:eastAsia="Calibri"/>
              </w:rPr>
              <w:t>202</w:t>
            </w:r>
            <w:r w:rsidR="00317C88">
              <w:rPr>
                <w:rFonts w:eastAsia="Calibri"/>
              </w:rPr>
              <w:t>6</w:t>
            </w:r>
            <w:r w:rsidRPr="006E0C1F">
              <w:rPr>
                <w:rFonts w:eastAsia="Calibri"/>
              </w:rPr>
              <w:t>.</w:t>
            </w:r>
            <w:r w:rsidR="00317C88">
              <w:rPr>
                <w:rFonts w:eastAsia="Calibri"/>
              </w:rPr>
              <w:t> </w:t>
            </w:r>
            <w:r w:rsidRPr="006E0C1F">
              <w:rPr>
                <w:rFonts w:eastAsia="Calibri"/>
              </w:rPr>
              <w:t>gada budžeta prognoze EUR</w:t>
            </w:r>
          </w:p>
        </w:tc>
        <w:tc>
          <w:tcPr>
            <w:tcW w:w="1711" w:type="dxa"/>
            <w:vAlign w:val="center"/>
          </w:tcPr>
          <w:p w14:paraId="6256DF57" w14:textId="77777777" w:rsidR="006E210F" w:rsidRPr="006E0C1F" w:rsidRDefault="006E210F" w:rsidP="00183521">
            <w:pPr>
              <w:jc w:val="center"/>
            </w:pPr>
            <w:r w:rsidRPr="006E0C1F">
              <w:t>Salīdzinājums</w:t>
            </w:r>
          </w:p>
        </w:tc>
      </w:tr>
      <w:bookmarkEnd w:id="1"/>
      <w:tr w:rsidR="006E210F" w:rsidRPr="002E77DC" w14:paraId="2E1FB53B" w14:textId="77777777" w:rsidTr="00F72429">
        <w:trPr>
          <w:trHeight w:val="332"/>
          <w:jc w:val="center"/>
        </w:trPr>
        <w:tc>
          <w:tcPr>
            <w:tcW w:w="4608" w:type="dxa"/>
            <w:vAlign w:val="center"/>
          </w:tcPr>
          <w:p w14:paraId="08F4E837" w14:textId="77777777" w:rsidR="006E210F" w:rsidRPr="002E77DC" w:rsidRDefault="006E210F" w:rsidP="00183521">
            <w:pPr>
              <w:jc w:val="right"/>
            </w:pPr>
            <w:r w:rsidRPr="002E77DC">
              <w:t>Kopā:</w:t>
            </w:r>
          </w:p>
        </w:tc>
        <w:tc>
          <w:tcPr>
            <w:tcW w:w="1418" w:type="dxa"/>
            <w:vAlign w:val="bottom"/>
          </w:tcPr>
          <w:p w14:paraId="367D2E71" w14:textId="584810C4" w:rsidR="006E210F" w:rsidRPr="003C436C" w:rsidRDefault="00F400AF" w:rsidP="00183521">
            <w:pPr>
              <w:jc w:val="right"/>
              <w:rPr>
                <w:color w:val="000000"/>
                <w:sz w:val="22"/>
                <w:szCs w:val="22"/>
              </w:rPr>
            </w:pPr>
            <w:r w:rsidRPr="00F400AF">
              <w:rPr>
                <w:color w:val="000000"/>
                <w:sz w:val="22"/>
                <w:szCs w:val="22"/>
              </w:rPr>
              <w:t>3 416 096</w:t>
            </w:r>
          </w:p>
        </w:tc>
        <w:tc>
          <w:tcPr>
            <w:tcW w:w="1658" w:type="dxa"/>
            <w:vAlign w:val="bottom"/>
          </w:tcPr>
          <w:p w14:paraId="7B6B822F" w14:textId="5C8402DC" w:rsidR="006E210F" w:rsidRPr="00C4156D" w:rsidRDefault="00F400AF" w:rsidP="00183521">
            <w:pPr>
              <w:jc w:val="right"/>
              <w:rPr>
                <w:color w:val="000000"/>
                <w:sz w:val="22"/>
                <w:szCs w:val="22"/>
                <w:highlight w:val="yellow"/>
              </w:rPr>
            </w:pPr>
            <w:r w:rsidRPr="00F400AF">
              <w:rPr>
                <w:color w:val="000000"/>
                <w:sz w:val="22"/>
                <w:szCs w:val="22"/>
              </w:rPr>
              <w:t>810 895</w:t>
            </w:r>
          </w:p>
        </w:tc>
        <w:tc>
          <w:tcPr>
            <w:tcW w:w="1711" w:type="dxa"/>
            <w:tcBorders>
              <w:bottom w:val="single" w:sz="4" w:space="0" w:color="auto"/>
            </w:tcBorders>
            <w:vAlign w:val="bottom"/>
          </w:tcPr>
          <w:p w14:paraId="666E3CCF" w14:textId="4C3D41B6" w:rsidR="006E210F" w:rsidRPr="00C4156D" w:rsidRDefault="00A93B49" w:rsidP="00183521">
            <w:pPr>
              <w:jc w:val="center"/>
              <w:rPr>
                <w:color w:val="000000"/>
                <w:sz w:val="22"/>
                <w:szCs w:val="22"/>
                <w:highlight w:val="yellow"/>
              </w:rPr>
            </w:pPr>
            <w:r w:rsidRPr="00A93B49">
              <w:rPr>
                <w:color w:val="000000"/>
                <w:sz w:val="22"/>
                <w:szCs w:val="22"/>
              </w:rPr>
              <w:t>-76%</w:t>
            </w:r>
          </w:p>
        </w:tc>
      </w:tr>
      <w:tr w:rsidR="004037D5" w:rsidRPr="002E77DC" w14:paraId="1368308B" w14:textId="77777777" w:rsidTr="00F72429">
        <w:trPr>
          <w:trHeight w:val="332"/>
          <w:jc w:val="center"/>
        </w:trPr>
        <w:tc>
          <w:tcPr>
            <w:tcW w:w="4608" w:type="dxa"/>
            <w:vAlign w:val="center"/>
          </w:tcPr>
          <w:p w14:paraId="11785EB8" w14:textId="77777777" w:rsidR="004037D5" w:rsidRPr="002E77DC" w:rsidRDefault="004037D5" w:rsidP="004037D5">
            <w:pPr>
              <w:jc w:val="right"/>
              <w:rPr>
                <w:color w:val="000000"/>
                <w:sz w:val="20"/>
                <w:szCs w:val="20"/>
              </w:rPr>
            </w:pPr>
            <w:r w:rsidRPr="002E77DC">
              <w:rPr>
                <w:color w:val="000000"/>
                <w:sz w:val="20"/>
                <w:szCs w:val="20"/>
              </w:rPr>
              <w:t>Procentu ieņēmumi  par atlikto maksājumu no nesamaksātas pirkuma daļas</w:t>
            </w:r>
            <w:r>
              <w:rPr>
                <w:color w:val="000000"/>
                <w:sz w:val="20"/>
                <w:szCs w:val="20"/>
              </w:rPr>
              <w:t>, dividendes, procentu ieņēmumi par depozītiem</w:t>
            </w:r>
          </w:p>
        </w:tc>
        <w:tc>
          <w:tcPr>
            <w:tcW w:w="1418" w:type="dxa"/>
            <w:tcBorders>
              <w:top w:val="single" w:sz="4" w:space="0" w:color="000000"/>
              <w:left w:val="single" w:sz="4" w:space="0" w:color="000000"/>
              <w:bottom w:val="single" w:sz="4" w:space="0" w:color="000000"/>
              <w:right w:val="single" w:sz="4" w:space="0" w:color="000000"/>
            </w:tcBorders>
            <w:vAlign w:val="center"/>
          </w:tcPr>
          <w:p w14:paraId="51D67ADB" w14:textId="7362CB02" w:rsidR="004037D5" w:rsidRPr="00470583" w:rsidRDefault="004037D5" w:rsidP="004037D5">
            <w:pPr>
              <w:jc w:val="right"/>
              <w:rPr>
                <w:sz w:val="20"/>
                <w:szCs w:val="20"/>
              </w:rPr>
            </w:pPr>
            <w:r w:rsidRPr="00470583">
              <w:rPr>
                <w:color w:val="000000"/>
                <w:sz w:val="18"/>
                <w:szCs w:val="18"/>
              </w:rPr>
              <w:t>82 152</w:t>
            </w:r>
          </w:p>
        </w:tc>
        <w:tc>
          <w:tcPr>
            <w:tcW w:w="1658" w:type="dxa"/>
            <w:tcBorders>
              <w:top w:val="single" w:sz="4" w:space="0" w:color="000000"/>
              <w:left w:val="nil"/>
              <w:bottom w:val="single" w:sz="4" w:space="0" w:color="000000"/>
              <w:right w:val="single" w:sz="4" w:space="0" w:color="auto"/>
            </w:tcBorders>
            <w:vAlign w:val="center"/>
          </w:tcPr>
          <w:p w14:paraId="2C33FE60" w14:textId="75112BD1" w:rsidR="004037D5" w:rsidRPr="00470583" w:rsidRDefault="004037D5" w:rsidP="004037D5">
            <w:pPr>
              <w:jc w:val="right"/>
              <w:rPr>
                <w:sz w:val="20"/>
                <w:szCs w:val="20"/>
              </w:rPr>
            </w:pPr>
            <w:r w:rsidRPr="00470583">
              <w:rPr>
                <w:color w:val="000000"/>
                <w:sz w:val="18"/>
                <w:szCs w:val="18"/>
              </w:rPr>
              <w:t>50 680</w:t>
            </w:r>
          </w:p>
        </w:tc>
        <w:tc>
          <w:tcPr>
            <w:tcW w:w="1711" w:type="dxa"/>
            <w:tcBorders>
              <w:top w:val="single" w:sz="4" w:space="0" w:color="auto"/>
              <w:left w:val="single" w:sz="4" w:space="0" w:color="auto"/>
              <w:bottom w:val="single" w:sz="6" w:space="0" w:color="auto"/>
              <w:right w:val="single" w:sz="4" w:space="0" w:color="auto"/>
            </w:tcBorders>
            <w:vAlign w:val="center"/>
          </w:tcPr>
          <w:p w14:paraId="61B2620B" w14:textId="4B6B4AE5" w:rsidR="004037D5" w:rsidRPr="00C4156D" w:rsidRDefault="004037D5" w:rsidP="004037D5">
            <w:pPr>
              <w:jc w:val="right"/>
              <w:rPr>
                <w:color w:val="000000"/>
                <w:sz w:val="20"/>
                <w:szCs w:val="20"/>
                <w:highlight w:val="yellow"/>
              </w:rPr>
            </w:pPr>
            <w:r>
              <w:rPr>
                <w:rFonts w:ascii="Calibri" w:hAnsi="Calibri" w:cs="Calibri"/>
                <w:color w:val="000000"/>
                <w:sz w:val="22"/>
                <w:szCs w:val="22"/>
              </w:rPr>
              <w:t>-38%</w:t>
            </w:r>
          </w:p>
        </w:tc>
      </w:tr>
      <w:tr w:rsidR="004037D5" w:rsidRPr="002E77DC" w14:paraId="5E3238C6" w14:textId="77777777" w:rsidTr="00F72429">
        <w:trPr>
          <w:trHeight w:val="332"/>
          <w:jc w:val="center"/>
        </w:trPr>
        <w:tc>
          <w:tcPr>
            <w:tcW w:w="4608" w:type="dxa"/>
            <w:vAlign w:val="center"/>
          </w:tcPr>
          <w:p w14:paraId="1F1AF13B" w14:textId="77777777" w:rsidR="004037D5" w:rsidRPr="002E77DC" w:rsidRDefault="004037D5" w:rsidP="004037D5">
            <w:pPr>
              <w:jc w:val="right"/>
              <w:rPr>
                <w:color w:val="000000"/>
                <w:sz w:val="20"/>
                <w:szCs w:val="20"/>
              </w:rPr>
            </w:pPr>
            <w:r w:rsidRPr="002E77DC">
              <w:rPr>
                <w:color w:val="000000"/>
                <w:sz w:val="20"/>
                <w:szCs w:val="20"/>
              </w:rPr>
              <w:t>Valsts (pašvaldību) nodevas un kancelejas nodevas</w:t>
            </w:r>
          </w:p>
        </w:tc>
        <w:tc>
          <w:tcPr>
            <w:tcW w:w="1418" w:type="dxa"/>
            <w:tcBorders>
              <w:top w:val="single" w:sz="4" w:space="0" w:color="000000"/>
              <w:left w:val="single" w:sz="4" w:space="0" w:color="000000"/>
              <w:bottom w:val="single" w:sz="4" w:space="0" w:color="000000"/>
              <w:right w:val="single" w:sz="4" w:space="0" w:color="000000"/>
            </w:tcBorders>
            <w:vAlign w:val="center"/>
          </w:tcPr>
          <w:p w14:paraId="67A528C4" w14:textId="15639851" w:rsidR="004037D5" w:rsidRPr="00470583" w:rsidRDefault="004037D5" w:rsidP="004037D5">
            <w:pPr>
              <w:jc w:val="right"/>
              <w:rPr>
                <w:sz w:val="20"/>
                <w:szCs w:val="20"/>
              </w:rPr>
            </w:pPr>
            <w:r w:rsidRPr="00470583">
              <w:rPr>
                <w:color w:val="000000"/>
                <w:sz w:val="18"/>
                <w:szCs w:val="18"/>
              </w:rPr>
              <w:t>73 903</w:t>
            </w:r>
          </w:p>
        </w:tc>
        <w:tc>
          <w:tcPr>
            <w:tcW w:w="1658" w:type="dxa"/>
            <w:tcBorders>
              <w:top w:val="single" w:sz="4" w:space="0" w:color="000000"/>
              <w:left w:val="nil"/>
              <w:bottom w:val="single" w:sz="4" w:space="0" w:color="000000"/>
              <w:right w:val="single" w:sz="4" w:space="0" w:color="auto"/>
            </w:tcBorders>
            <w:vAlign w:val="center"/>
          </w:tcPr>
          <w:p w14:paraId="4619DA38" w14:textId="5FD34986" w:rsidR="004037D5" w:rsidRPr="00470583" w:rsidRDefault="004037D5" w:rsidP="004037D5">
            <w:pPr>
              <w:jc w:val="right"/>
              <w:rPr>
                <w:sz w:val="20"/>
                <w:szCs w:val="20"/>
                <w:highlight w:val="yellow"/>
              </w:rPr>
            </w:pPr>
            <w:r w:rsidRPr="00470583">
              <w:rPr>
                <w:color w:val="000000"/>
                <w:sz w:val="18"/>
                <w:szCs w:val="18"/>
              </w:rPr>
              <w:t>74 400</w:t>
            </w:r>
          </w:p>
        </w:tc>
        <w:tc>
          <w:tcPr>
            <w:tcW w:w="1711" w:type="dxa"/>
            <w:tcBorders>
              <w:top w:val="single" w:sz="6" w:space="0" w:color="auto"/>
              <w:left w:val="single" w:sz="4" w:space="0" w:color="auto"/>
              <w:bottom w:val="single" w:sz="6" w:space="0" w:color="auto"/>
              <w:right w:val="single" w:sz="4" w:space="0" w:color="auto"/>
            </w:tcBorders>
            <w:vAlign w:val="center"/>
          </w:tcPr>
          <w:p w14:paraId="68D56936" w14:textId="1DB4061E" w:rsidR="004037D5" w:rsidRPr="00C4156D" w:rsidRDefault="004037D5" w:rsidP="004037D5">
            <w:pPr>
              <w:jc w:val="right"/>
              <w:rPr>
                <w:color w:val="000000"/>
                <w:sz w:val="20"/>
                <w:szCs w:val="20"/>
                <w:highlight w:val="yellow"/>
              </w:rPr>
            </w:pPr>
            <w:r>
              <w:rPr>
                <w:rFonts w:ascii="Calibri" w:hAnsi="Calibri" w:cs="Calibri"/>
                <w:color w:val="000000"/>
                <w:sz w:val="22"/>
                <w:szCs w:val="22"/>
              </w:rPr>
              <w:t>1%</w:t>
            </w:r>
          </w:p>
        </w:tc>
      </w:tr>
      <w:tr w:rsidR="004037D5" w:rsidRPr="002E77DC" w14:paraId="59B25E78" w14:textId="77777777" w:rsidTr="00F72429">
        <w:trPr>
          <w:trHeight w:val="332"/>
          <w:jc w:val="center"/>
        </w:trPr>
        <w:tc>
          <w:tcPr>
            <w:tcW w:w="4608" w:type="dxa"/>
            <w:vAlign w:val="center"/>
          </w:tcPr>
          <w:p w14:paraId="47B8DCF2" w14:textId="77777777" w:rsidR="004037D5" w:rsidRPr="002E77DC" w:rsidRDefault="004037D5" w:rsidP="004037D5">
            <w:pPr>
              <w:jc w:val="right"/>
              <w:rPr>
                <w:color w:val="000000"/>
                <w:sz w:val="20"/>
                <w:szCs w:val="20"/>
              </w:rPr>
            </w:pPr>
            <w:r w:rsidRPr="002E77DC">
              <w:rPr>
                <w:color w:val="000000"/>
                <w:sz w:val="20"/>
                <w:szCs w:val="20"/>
              </w:rPr>
              <w:t>Naudas sodi un sankcijas</w:t>
            </w:r>
          </w:p>
        </w:tc>
        <w:tc>
          <w:tcPr>
            <w:tcW w:w="1418" w:type="dxa"/>
            <w:tcBorders>
              <w:top w:val="single" w:sz="4" w:space="0" w:color="000000"/>
              <w:left w:val="single" w:sz="4" w:space="0" w:color="000000"/>
              <w:bottom w:val="single" w:sz="4" w:space="0" w:color="000000"/>
              <w:right w:val="single" w:sz="4" w:space="0" w:color="000000"/>
            </w:tcBorders>
            <w:vAlign w:val="center"/>
          </w:tcPr>
          <w:p w14:paraId="1A0101AA" w14:textId="267D6B65" w:rsidR="004037D5" w:rsidRPr="00470583" w:rsidRDefault="004037D5" w:rsidP="004037D5">
            <w:pPr>
              <w:jc w:val="right"/>
              <w:rPr>
                <w:sz w:val="20"/>
                <w:szCs w:val="20"/>
              </w:rPr>
            </w:pPr>
            <w:r w:rsidRPr="00470583">
              <w:rPr>
                <w:color w:val="000000"/>
                <w:sz w:val="18"/>
                <w:szCs w:val="18"/>
              </w:rPr>
              <w:t>20 243</w:t>
            </w:r>
          </w:p>
        </w:tc>
        <w:tc>
          <w:tcPr>
            <w:tcW w:w="1658" w:type="dxa"/>
            <w:tcBorders>
              <w:top w:val="single" w:sz="4" w:space="0" w:color="000000"/>
              <w:left w:val="nil"/>
              <w:bottom w:val="single" w:sz="4" w:space="0" w:color="000000"/>
              <w:right w:val="single" w:sz="4" w:space="0" w:color="auto"/>
            </w:tcBorders>
            <w:vAlign w:val="center"/>
          </w:tcPr>
          <w:p w14:paraId="33A990C1" w14:textId="40B8C740" w:rsidR="004037D5" w:rsidRPr="00470583" w:rsidRDefault="004037D5" w:rsidP="004037D5">
            <w:pPr>
              <w:jc w:val="right"/>
              <w:rPr>
                <w:color w:val="000000"/>
                <w:sz w:val="20"/>
                <w:szCs w:val="20"/>
                <w:highlight w:val="yellow"/>
              </w:rPr>
            </w:pPr>
            <w:r w:rsidRPr="00470583">
              <w:rPr>
                <w:color w:val="000000"/>
                <w:sz w:val="18"/>
                <w:szCs w:val="18"/>
              </w:rPr>
              <w:t>19 200</w:t>
            </w:r>
          </w:p>
        </w:tc>
        <w:tc>
          <w:tcPr>
            <w:tcW w:w="1711" w:type="dxa"/>
            <w:tcBorders>
              <w:top w:val="single" w:sz="6" w:space="0" w:color="auto"/>
              <w:left w:val="single" w:sz="4" w:space="0" w:color="auto"/>
              <w:bottom w:val="single" w:sz="6" w:space="0" w:color="auto"/>
              <w:right w:val="single" w:sz="4" w:space="0" w:color="auto"/>
            </w:tcBorders>
            <w:vAlign w:val="center"/>
          </w:tcPr>
          <w:p w14:paraId="0B230639" w14:textId="33000F60" w:rsidR="004037D5" w:rsidRPr="00C4156D" w:rsidRDefault="004037D5" w:rsidP="004037D5">
            <w:pPr>
              <w:jc w:val="right"/>
              <w:rPr>
                <w:color w:val="000000"/>
                <w:sz w:val="20"/>
                <w:szCs w:val="20"/>
                <w:highlight w:val="yellow"/>
              </w:rPr>
            </w:pPr>
            <w:r>
              <w:rPr>
                <w:rFonts w:ascii="Calibri" w:hAnsi="Calibri" w:cs="Calibri"/>
                <w:color w:val="000000"/>
                <w:sz w:val="22"/>
                <w:szCs w:val="22"/>
              </w:rPr>
              <w:t>-5%</w:t>
            </w:r>
          </w:p>
        </w:tc>
      </w:tr>
      <w:tr w:rsidR="004037D5" w:rsidRPr="002E77DC" w14:paraId="24D4CCA4" w14:textId="77777777" w:rsidTr="00F72429">
        <w:trPr>
          <w:trHeight w:val="332"/>
          <w:jc w:val="center"/>
        </w:trPr>
        <w:tc>
          <w:tcPr>
            <w:tcW w:w="4608" w:type="dxa"/>
            <w:vAlign w:val="center"/>
          </w:tcPr>
          <w:p w14:paraId="2ADF106A" w14:textId="77777777" w:rsidR="004037D5" w:rsidRPr="002E77DC" w:rsidRDefault="004037D5" w:rsidP="004037D5">
            <w:pPr>
              <w:jc w:val="right"/>
              <w:rPr>
                <w:color w:val="000000"/>
                <w:sz w:val="20"/>
                <w:szCs w:val="20"/>
              </w:rPr>
            </w:pPr>
            <w:r w:rsidRPr="002E77DC">
              <w:rPr>
                <w:color w:val="000000"/>
                <w:sz w:val="20"/>
                <w:szCs w:val="20"/>
              </w:rPr>
              <w:t>Pārējie nenodokļu ieņēmumi</w:t>
            </w:r>
          </w:p>
        </w:tc>
        <w:tc>
          <w:tcPr>
            <w:tcW w:w="1418" w:type="dxa"/>
            <w:tcBorders>
              <w:top w:val="single" w:sz="4" w:space="0" w:color="000000"/>
              <w:left w:val="single" w:sz="4" w:space="0" w:color="000000"/>
              <w:bottom w:val="single" w:sz="4" w:space="0" w:color="000000"/>
              <w:right w:val="single" w:sz="4" w:space="0" w:color="000000"/>
            </w:tcBorders>
            <w:vAlign w:val="center"/>
          </w:tcPr>
          <w:p w14:paraId="4A857EC9" w14:textId="509994E6" w:rsidR="004037D5" w:rsidRPr="00470583" w:rsidRDefault="004037D5" w:rsidP="004037D5">
            <w:pPr>
              <w:jc w:val="right"/>
              <w:rPr>
                <w:sz w:val="20"/>
                <w:szCs w:val="20"/>
              </w:rPr>
            </w:pPr>
            <w:r w:rsidRPr="00470583">
              <w:rPr>
                <w:color w:val="000000"/>
                <w:sz w:val="18"/>
                <w:szCs w:val="18"/>
              </w:rPr>
              <w:t>83 197</w:t>
            </w:r>
          </w:p>
        </w:tc>
        <w:tc>
          <w:tcPr>
            <w:tcW w:w="1658" w:type="dxa"/>
            <w:tcBorders>
              <w:top w:val="single" w:sz="4" w:space="0" w:color="000000"/>
              <w:left w:val="nil"/>
              <w:bottom w:val="single" w:sz="4" w:space="0" w:color="000000"/>
              <w:right w:val="single" w:sz="4" w:space="0" w:color="auto"/>
            </w:tcBorders>
            <w:vAlign w:val="center"/>
          </w:tcPr>
          <w:p w14:paraId="7E5DBB69" w14:textId="164E6AD6" w:rsidR="004037D5" w:rsidRPr="00470583" w:rsidRDefault="004037D5" w:rsidP="004037D5">
            <w:pPr>
              <w:jc w:val="right"/>
              <w:rPr>
                <w:sz w:val="20"/>
                <w:szCs w:val="20"/>
                <w:highlight w:val="yellow"/>
              </w:rPr>
            </w:pPr>
            <w:r w:rsidRPr="00470583">
              <w:rPr>
                <w:color w:val="000000"/>
                <w:sz w:val="18"/>
                <w:szCs w:val="18"/>
              </w:rPr>
              <w:t>292 830</w:t>
            </w:r>
          </w:p>
        </w:tc>
        <w:tc>
          <w:tcPr>
            <w:tcW w:w="1711" w:type="dxa"/>
            <w:tcBorders>
              <w:top w:val="single" w:sz="6" w:space="0" w:color="auto"/>
              <w:left w:val="single" w:sz="4" w:space="0" w:color="auto"/>
              <w:bottom w:val="single" w:sz="6" w:space="0" w:color="auto"/>
              <w:right w:val="single" w:sz="4" w:space="0" w:color="auto"/>
            </w:tcBorders>
            <w:vAlign w:val="center"/>
          </w:tcPr>
          <w:p w14:paraId="6CEB958A" w14:textId="444DA596" w:rsidR="004037D5" w:rsidRPr="00C4156D" w:rsidRDefault="004037D5" w:rsidP="004037D5">
            <w:pPr>
              <w:jc w:val="right"/>
              <w:rPr>
                <w:color w:val="000000"/>
                <w:sz w:val="20"/>
                <w:szCs w:val="20"/>
                <w:highlight w:val="yellow"/>
              </w:rPr>
            </w:pPr>
            <w:r>
              <w:rPr>
                <w:rFonts w:ascii="Calibri" w:hAnsi="Calibri" w:cs="Calibri"/>
                <w:color w:val="000000"/>
                <w:sz w:val="22"/>
                <w:szCs w:val="22"/>
              </w:rPr>
              <w:t>252%</w:t>
            </w:r>
          </w:p>
        </w:tc>
      </w:tr>
      <w:tr w:rsidR="004037D5" w:rsidRPr="002E77DC" w14:paraId="59567E5C" w14:textId="77777777" w:rsidTr="00F72429">
        <w:trPr>
          <w:trHeight w:val="332"/>
          <w:jc w:val="center"/>
        </w:trPr>
        <w:tc>
          <w:tcPr>
            <w:tcW w:w="4608" w:type="dxa"/>
            <w:vAlign w:val="center"/>
          </w:tcPr>
          <w:p w14:paraId="12BB6CA6" w14:textId="0EB5ABB7" w:rsidR="004037D5" w:rsidRPr="002E77DC" w:rsidRDefault="004037D5" w:rsidP="004037D5">
            <w:pPr>
              <w:jc w:val="right"/>
              <w:rPr>
                <w:color w:val="000000"/>
                <w:sz w:val="20"/>
                <w:szCs w:val="20"/>
              </w:rPr>
            </w:pPr>
            <w:r w:rsidRPr="002E77DC">
              <w:rPr>
                <w:color w:val="000000"/>
                <w:sz w:val="20"/>
                <w:szCs w:val="20"/>
              </w:rPr>
              <w:t xml:space="preserve">Ieņēmumi no pašvaldību īpašuma pārdošanas </w:t>
            </w:r>
          </w:p>
        </w:tc>
        <w:tc>
          <w:tcPr>
            <w:tcW w:w="1418" w:type="dxa"/>
            <w:tcBorders>
              <w:top w:val="single" w:sz="4" w:space="0" w:color="000000"/>
              <w:left w:val="single" w:sz="4" w:space="0" w:color="000000"/>
              <w:bottom w:val="single" w:sz="4" w:space="0" w:color="000000"/>
              <w:right w:val="single" w:sz="4" w:space="0" w:color="000000"/>
            </w:tcBorders>
            <w:vAlign w:val="center"/>
          </w:tcPr>
          <w:p w14:paraId="3B43D134" w14:textId="7E5CF69D" w:rsidR="004037D5" w:rsidRPr="00470583" w:rsidRDefault="004037D5" w:rsidP="004037D5">
            <w:pPr>
              <w:jc w:val="right"/>
              <w:rPr>
                <w:sz w:val="20"/>
                <w:szCs w:val="20"/>
              </w:rPr>
            </w:pPr>
            <w:r w:rsidRPr="00470583">
              <w:rPr>
                <w:color w:val="000000"/>
                <w:sz w:val="18"/>
                <w:szCs w:val="18"/>
              </w:rPr>
              <w:t>3 156 601</w:t>
            </w:r>
          </w:p>
        </w:tc>
        <w:tc>
          <w:tcPr>
            <w:tcW w:w="1658" w:type="dxa"/>
            <w:tcBorders>
              <w:top w:val="single" w:sz="4" w:space="0" w:color="000000"/>
              <w:left w:val="nil"/>
              <w:bottom w:val="single" w:sz="4" w:space="0" w:color="000000"/>
              <w:right w:val="single" w:sz="4" w:space="0" w:color="auto"/>
            </w:tcBorders>
            <w:vAlign w:val="center"/>
          </w:tcPr>
          <w:p w14:paraId="33BD9ADF" w14:textId="429C24E4" w:rsidR="004037D5" w:rsidRPr="00470583" w:rsidRDefault="004037D5" w:rsidP="004037D5">
            <w:pPr>
              <w:jc w:val="right"/>
              <w:rPr>
                <w:color w:val="000000"/>
                <w:sz w:val="20"/>
                <w:szCs w:val="20"/>
              </w:rPr>
            </w:pPr>
            <w:r w:rsidRPr="00470583">
              <w:rPr>
                <w:color w:val="000000"/>
                <w:sz w:val="18"/>
                <w:szCs w:val="18"/>
              </w:rPr>
              <w:t>373 785</w:t>
            </w:r>
          </w:p>
        </w:tc>
        <w:tc>
          <w:tcPr>
            <w:tcW w:w="1711" w:type="dxa"/>
            <w:tcBorders>
              <w:top w:val="single" w:sz="6" w:space="0" w:color="auto"/>
              <w:left w:val="single" w:sz="4" w:space="0" w:color="auto"/>
              <w:bottom w:val="single" w:sz="4" w:space="0" w:color="auto"/>
              <w:right w:val="single" w:sz="4" w:space="0" w:color="auto"/>
            </w:tcBorders>
            <w:vAlign w:val="center"/>
          </w:tcPr>
          <w:p w14:paraId="0BEB34D5" w14:textId="43F52223" w:rsidR="004037D5" w:rsidRPr="002E77DC" w:rsidRDefault="004037D5" w:rsidP="004037D5">
            <w:pPr>
              <w:jc w:val="right"/>
              <w:rPr>
                <w:color w:val="000000"/>
                <w:sz w:val="20"/>
                <w:szCs w:val="20"/>
              </w:rPr>
            </w:pPr>
            <w:r>
              <w:rPr>
                <w:rFonts w:ascii="Calibri" w:hAnsi="Calibri" w:cs="Calibri"/>
                <w:color w:val="000000"/>
                <w:sz w:val="22"/>
                <w:szCs w:val="22"/>
              </w:rPr>
              <w:t>-88%</w:t>
            </w:r>
          </w:p>
        </w:tc>
      </w:tr>
    </w:tbl>
    <w:p w14:paraId="663A64FD" w14:textId="77777777" w:rsidR="006E210F" w:rsidRDefault="006E210F" w:rsidP="006E210F">
      <w:pPr>
        <w:spacing w:line="360" w:lineRule="auto"/>
        <w:ind w:firstLine="840"/>
        <w:jc w:val="both"/>
      </w:pPr>
    </w:p>
    <w:p w14:paraId="69412862" w14:textId="68384F89" w:rsidR="006E210F" w:rsidRDefault="006E210F" w:rsidP="006E210F">
      <w:pPr>
        <w:spacing w:line="360" w:lineRule="auto"/>
        <w:ind w:firstLine="851"/>
        <w:jc w:val="both"/>
      </w:pPr>
      <w:r w:rsidRPr="002E77DC">
        <w:t>Pašvaldības</w:t>
      </w:r>
      <w:r>
        <w:t xml:space="preserve"> iestāžu</w:t>
      </w:r>
      <w:r w:rsidRPr="002E77DC">
        <w:t xml:space="preserve"> maksas pakalpojumu ieņēmumi un citi pašu ieņēmumi  plānoti </w:t>
      </w:r>
      <w:r w:rsidR="00093D01" w:rsidRPr="00093D01">
        <w:t>2 105</w:t>
      </w:r>
      <w:r w:rsidR="006368C7">
        <w:t> </w:t>
      </w:r>
      <w:r w:rsidR="00093D01" w:rsidRPr="00093D01">
        <w:t>916</w:t>
      </w:r>
      <w:r w:rsidR="006368C7">
        <w:t xml:space="preserve"> </w:t>
      </w:r>
      <w:r w:rsidRPr="002E77DC">
        <w:t xml:space="preserve">EUR apmērā jeb </w:t>
      </w:r>
      <w:r w:rsidR="00093D01">
        <w:t>3</w:t>
      </w:r>
      <w:r w:rsidRPr="002E77DC">
        <w:t xml:space="preserve">% apmērā no kopējiem pamatbudžeta  ieņēmumiem, un tie plānoti par </w:t>
      </w:r>
      <w:r w:rsidR="00A362BB">
        <w:t>0</w:t>
      </w:r>
      <w:r w:rsidR="00C12B52">
        <w:t>,5</w:t>
      </w:r>
      <w:r w:rsidRPr="002E77DC">
        <w:t xml:space="preserve">% </w:t>
      </w:r>
      <w:r w:rsidR="00A362BB">
        <w:t>mazāk</w:t>
      </w:r>
      <w:r w:rsidR="00C12B52">
        <w:t xml:space="preserve"> </w:t>
      </w:r>
      <w:r w:rsidRPr="002E77DC">
        <w:t>kā</w:t>
      </w:r>
      <w:r>
        <w:t xml:space="preserve"> saņemts</w:t>
      </w:r>
      <w:r w:rsidRPr="002E77DC">
        <w:t xml:space="preserve"> iepriekšējā gadā. </w:t>
      </w:r>
    </w:p>
    <w:p w14:paraId="7F89C2A0" w14:textId="77777777" w:rsidR="005F5F53" w:rsidRPr="002E77DC" w:rsidRDefault="005F5F53" w:rsidP="006E210F">
      <w:pPr>
        <w:spacing w:line="360" w:lineRule="auto"/>
        <w:ind w:firstLine="851"/>
        <w:jc w:val="both"/>
      </w:pPr>
    </w:p>
    <w:tbl>
      <w:tblPr>
        <w:tblStyle w:val="Reatabula"/>
        <w:tblW w:w="0" w:type="auto"/>
        <w:jc w:val="center"/>
        <w:tblLook w:val="04A0" w:firstRow="1" w:lastRow="0" w:firstColumn="1" w:lastColumn="0" w:noHBand="0" w:noVBand="1"/>
      </w:tblPr>
      <w:tblGrid>
        <w:gridCol w:w="4517"/>
        <w:gridCol w:w="1498"/>
        <w:gridCol w:w="1669"/>
        <w:gridCol w:w="1711"/>
      </w:tblGrid>
      <w:tr w:rsidR="00A93B49" w:rsidRPr="002E77DC" w14:paraId="493DF6FC" w14:textId="77777777" w:rsidTr="00A43B36">
        <w:trPr>
          <w:trHeight w:val="943"/>
          <w:jc w:val="center"/>
        </w:trPr>
        <w:tc>
          <w:tcPr>
            <w:tcW w:w="4517" w:type="dxa"/>
            <w:vAlign w:val="center"/>
          </w:tcPr>
          <w:p w14:paraId="03B715B7" w14:textId="77777777" w:rsidR="00A93B49" w:rsidRPr="002E77DC" w:rsidRDefault="00A93B49" w:rsidP="00A93B49">
            <w:pPr>
              <w:jc w:val="center"/>
              <w:outlineLvl w:val="0"/>
            </w:pPr>
            <w:r w:rsidRPr="002E77DC">
              <w:lastRenderedPageBreak/>
              <w:t>Maksas pakalpojumi un citi pašu ieņēmumi</w:t>
            </w:r>
          </w:p>
        </w:tc>
        <w:tc>
          <w:tcPr>
            <w:tcW w:w="1498" w:type="dxa"/>
            <w:vAlign w:val="center"/>
          </w:tcPr>
          <w:p w14:paraId="21C8C65A" w14:textId="1492EEEF" w:rsidR="00A93B49" w:rsidRPr="002E77DC" w:rsidRDefault="00A93B49" w:rsidP="00A93B49">
            <w:pPr>
              <w:autoSpaceDE w:val="0"/>
              <w:autoSpaceDN w:val="0"/>
              <w:adjustRightInd w:val="0"/>
              <w:spacing w:after="120"/>
              <w:jc w:val="center"/>
              <w:rPr>
                <w:rFonts w:eastAsia="Calibri"/>
              </w:rPr>
            </w:pPr>
            <w:r w:rsidRPr="002E77DC">
              <w:rPr>
                <w:rFonts w:eastAsia="Calibri"/>
              </w:rPr>
              <w:t>202</w:t>
            </w:r>
            <w:r>
              <w:rPr>
                <w:rFonts w:eastAsia="Calibri"/>
              </w:rPr>
              <w:t>5</w:t>
            </w:r>
            <w:r w:rsidRPr="002E77DC">
              <w:rPr>
                <w:rFonts w:eastAsia="Calibri"/>
              </w:rPr>
              <w:t>.</w:t>
            </w:r>
            <w:r>
              <w:rPr>
                <w:rFonts w:eastAsia="Calibri"/>
              </w:rPr>
              <w:t> </w:t>
            </w:r>
            <w:r w:rsidRPr="002E77DC">
              <w:rPr>
                <w:rFonts w:eastAsia="Calibri"/>
              </w:rPr>
              <w:t>gada izpilde</w:t>
            </w:r>
            <w:r>
              <w:rPr>
                <w:rFonts w:eastAsia="Calibri"/>
              </w:rPr>
              <w:t xml:space="preserve"> EUR</w:t>
            </w:r>
          </w:p>
        </w:tc>
        <w:tc>
          <w:tcPr>
            <w:tcW w:w="1669" w:type="dxa"/>
            <w:tcBorders>
              <w:bottom w:val="single" w:sz="4" w:space="0" w:color="auto"/>
            </w:tcBorders>
            <w:vAlign w:val="center"/>
          </w:tcPr>
          <w:p w14:paraId="2E6E3F5E" w14:textId="6299CB2F" w:rsidR="00A93B49" w:rsidRPr="002E77DC" w:rsidRDefault="00A93B49" w:rsidP="00A93B49">
            <w:pPr>
              <w:autoSpaceDE w:val="0"/>
              <w:autoSpaceDN w:val="0"/>
              <w:adjustRightInd w:val="0"/>
              <w:spacing w:after="120"/>
              <w:jc w:val="center"/>
              <w:rPr>
                <w:rFonts w:eastAsia="Calibri"/>
              </w:rPr>
            </w:pPr>
            <w:r w:rsidRPr="006E0C1F">
              <w:rPr>
                <w:rFonts w:eastAsia="Calibri"/>
              </w:rPr>
              <w:t>202</w:t>
            </w:r>
            <w:r>
              <w:rPr>
                <w:rFonts w:eastAsia="Calibri"/>
              </w:rPr>
              <w:t>6</w:t>
            </w:r>
            <w:r w:rsidRPr="006E0C1F">
              <w:rPr>
                <w:rFonts w:eastAsia="Calibri"/>
              </w:rPr>
              <w:t>.</w:t>
            </w:r>
            <w:r>
              <w:rPr>
                <w:rFonts w:eastAsia="Calibri"/>
              </w:rPr>
              <w:t> </w:t>
            </w:r>
            <w:r w:rsidRPr="006E0C1F">
              <w:rPr>
                <w:rFonts w:eastAsia="Calibri"/>
              </w:rPr>
              <w:t>gada budžeta prognoze EUR</w:t>
            </w:r>
          </w:p>
        </w:tc>
        <w:tc>
          <w:tcPr>
            <w:tcW w:w="1711" w:type="dxa"/>
            <w:vAlign w:val="center"/>
          </w:tcPr>
          <w:p w14:paraId="5681B65D" w14:textId="55533AF5" w:rsidR="00A93B49" w:rsidRPr="002E77DC" w:rsidRDefault="00A93B49" w:rsidP="00A93B49">
            <w:pPr>
              <w:jc w:val="center"/>
            </w:pPr>
            <w:r w:rsidRPr="006E0C1F">
              <w:t>Salīdzinājums</w:t>
            </w:r>
          </w:p>
        </w:tc>
      </w:tr>
      <w:tr w:rsidR="00030DF7" w:rsidRPr="002E77DC" w14:paraId="2A6877F4" w14:textId="77777777" w:rsidTr="00A362BB">
        <w:trPr>
          <w:trHeight w:val="347"/>
          <w:jc w:val="center"/>
        </w:trPr>
        <w:tc>
          <w:tcPr>
            <w:tcW w:w="4517" w:type="dxa"/>
            <w:vAlign w:val="center"/>
          </w:tcPr>
          <w:p w14:paraId="6938FC48" w14:textId="77777777" w:rsidR="00030DF7" w:rsidRPr="002E77DC" w:rsidRDefault="00030DF7" w:rsidP="00030DF7">
            <w:pPr>
              <w:jc w:val="right"/>
            </w:pPr>
            <w:r w:rsidRPr="002E77DC">
              <w:t>Kopā:</w:t>
            </w:r>
          </w:p>
        </w:tc>
        <w:tc>
          <w:tcPr>
            <w:tcW w:w="1498" w:type="dxa"/>
            <w:tcBorders>
              <w:top w:val="nil"/>
              <w:left w:val="nil"/>
              <w:bottom w:val="nil"/>
              <w:right w:val="single" w:sz="4" w:space="0" w:color="auto"/>
            </w:tcBorders>
            <w:vAlign w:val="bottom"/>
          </w:tcPr>
          <w:p w14:paraId="4A335516" w14:textId="230218A4" w:rsidR="00030DF7" w:rsidRPr="00DD6388" w:rsidRDefault="008C548E" w:rsidP="00030DF7">
            <w:r>
              <w:rPr>
                <w:color w:val="000000"/>
              </w:rPr>
              <w:t>2</w:t>
            </w:r>
            <w:r w:rsidR="00030DF7" w:rsidRPr="00DD6388">
              <w:rPr>
                <w:color w:val="000000"/>
              </w:rPr>
              <w:t xml:space="preserve"> </w:t>
            </w:r>
            <w:r>
              <w:rPr>
                <w:color w:val="000000"/>
              </w:rPr>
              <w:t>117</w:t>
            </w:r>
            <w:r w:rsidR="00030DF7" w:rsidRPr="00DD6388">
              <w:rPr>
                <w:color w:val="000000"/>
              </w:rPr>
              <w:t xml:space="preserve"> </w:t>
            </w:r>
            <w:r w:rsidR="00BF2848">
              <w:rPr>
                <w:color w:val="000000"/>
              </w:rPr>
              <w:t>24</w:t>
            </w:r>
            <w:r w:rsidR="00030DF7" w:rsidRPr="00DD6388">
              <w:rPr>
                <w:color w:val="000000"/>
              </w:rPr>
              <w:t>4</w:t>
            </w:r>
          </w:p>
        </w:tc>
        <w:tc>
          <w:tcPr>
            <w:tcW w:w="1669" w:type="dxa"/>
            <w:tcBorders>
              <w:top w:val="single" w:sz="4" w:space="0" w:color="auto"/>
              <w:left w:val="single" w:sz="4" w:space="0" w:color="auto"/>
              <w:bottom w:val="single" w:sz="4" w:space="0" w:color="auto"/>
              <w:right w:val="nil"/>
            </w:tcBorders>
            <w:vAlign w:val="bottom"/>
          </w:tcPr>
          <w:p w14:paraId="2E53FB4B" w14:textId="47B8169F" w:rsidR="00030DF7" w:rsidRPr="00DD6388" w:rsidRDefault="00BF2848" w:rsidP="00030DF7">
            <w:r w:rsidRPr="00BF2848">
              <w:rPr>
                <w:color w:val="000000"/>
              </w:rPr>
              <w:t>2 105 916</w:t>
            </w:r>
          </w:p>
        </w:tc>
        <w:tc>
          <w:tcPr>
            <w:tcW w:w="1711" w:type="dxa"/>
            <w:tcBorders>
              <w:bottom w:val="single" w:sz="4" w:space="0" w:color="auto"/>
            </w:tcBorders>
            <w:vAlign w:val="bottom"/>
          </w:tcPr>
          <w:p w14:paraId="66DC3EF7" w14:textId="2B539D65" w:rsidR="00030DF7" w:rsidRPr="007A77BE" w:rsidRDefault="00A362BB" w:rsidP="00030DF7">
            <w:pPr>
              <w:jc w:val="center"/>
              <w:rPr>
                <w:color w:val="000000"/>
              </w:rPr>
            </w:pPr>
            <w:r w:rsidRPr="00A362BB">
              <w:rPr>
                <w:color w:val="000000"/>
              </w:rPr>
              <w:t>-0,5%</w:t>
            </w:r>
          </w:p>
        </w:tc>
      </w:tr>
      <w:tr w:rsidR="00A362BB" w:rsidRPr="002E77DC" w14:paraId="3C1EEF8F" w14:textId="77777777" w:rsidTr="00A362BB">
        <w:trPr>
          <w:trHeight w:val="332"/>
          <w:jc w:val="center"/>
        </w:trPr>
        <w:tc>
          <w:tcPr>
            <w:tcW w:w="4517" w:type="dxa"/>
            <w:vAlign w:val="center"/>
          </w:tcPr>
          <w:p w14:paraId="7D4403CF" w14:textId="77777777" w:rsidR="00A362BB" w:rsidRPr="002E77DC" w:rsidRDefault="00A362BB" w:rsidP="00A362BB">
            <w:pPr>
              <w:jc w:val="right"/>
              <w:rPr>
                <w:color w:val="000000"/>
                <w:sz w:val="20"/>
                <w:szCs w:val="20"/>
              </w:rPr>
            </w:pPr>
            <w:r w:rsidRPr="002E77DC">
              <w:rPr>
                <w:color w:val="000000"/>
                <w:sz w:val="20"/>
                <w:szCs w:val="20"/>
              </w:rPr>
              <w:t>Maksa par izglītības pakalpojumiem</w:t>
            </w:r>
          </w:p>
        </w:tc>
        <w:tc>
          <w:tcPr>
            <w:tcW w:w="1498" w:type="dxa"/>
            <w:tcBorders>
              <w:top w:val="single" w:sz="4" w:space="0" w:color="000000"/>
              <w:left w:val="single" w:sz="4" w:space="0" w:color="000000"/>
              <w:bottom w:val="single" w:sz="4" w:space="0" w:color="000000"/>
              <w:right w:val="single" w:sz="4" w:space="0" w:color="000000"/>
            </w:tcBorders>
            <w:vAlign w:val="center"/>
          </w:tcPr>
          <w:p w14:paraId="35531DE7" w14:textId="662802D3" w:rsidR="00A362BB" w:rsidRPr="00F354E3" w:rsidRDefault="00A362BB" w:rsidP="00A362BB">
            <w:pPr>
              <w:jc w:val="right"/>
              <w:rPr>
                <w:sz w:val="20"/>
                <w:szCs w:val="20"/>
              </w:rPr>
            </w:pPr>
            <w:r>
              <w:rPr>
                <w:color w:val="000000"/>
                <w:sz w:val="20"/>
                <w:szCs w:val="20"/>
              </w:rPr>
              <w:t>497451</w:t>
            </w:r>
          </w:p>
        </w:tc>
        <w:tc>
          <w:tcPr>
            <w:tcW w:w="1669" w:type="dxa"/>
            <w:tcBorders>
              <w:top w:val="single" w:sz="4" w:space="0" w:color="auto"/>
              <w:left w:val="nil"/>
              <w:bottom w:val="single" w:sz="4" w:space="0" w:color="000000"/>
              <w:right w:val="single" w:sz="4" w:space="0" w:color="auto"/>
            </w:tcBorders>
            <w:vAlign w:val="center"/>
          </w:tcPr>
          <w:p w14:paraId="50AEEA94" w14:textId="4724C95A" w:rsidR="00A362BB" w:rsidRPr="00F354E3" w:rsidRDefault="00A362BB" w:rsidP="00A362BB">
            <w:pPr>
              <w:jc w:val="right"/>
              <w:rPr>
                <w:sz w:val="20"/>
                <w:szCs w:val="20"/>
              </w:rPr>
            </w:pPr>
            <w:r w:rsidRPr="00187DB0">
              <w:rPr>
                <w:color w:val="000000"/>
                <w:sz w:val="20"/>
                <w:szCs w:val="20"/>
              </w:rPr>
              <w:t>507 060</w:t>
            </w:r>
          </w:p>
        </w:tc>
        <w:tc>
          <w:tcPr>
            <w:tcW w:w="1711" w:type="dxa"/>
            <w:tcBorders>
              <w:top w:val="single" w:sz="4" w:space="0" w:color="auto"/>
              <w:left w:val="single" w:sz="4" w:space="0" w:color="auto"/>
              <w:bottom w:val="single" w:sz="4" w:space="0" w:color="auto"/>
              <w:right w:val="single" w:sz="4" w:space="0" w:color="auto"/>
            </w:tcBorders>
            <w:vAlign w:val="bottom"/>
          </w:tcPr>
          <w:p w14:paraId="616A0A6D" w14:textId="7A7F01DF" w:rsidR="00A362BB" w:rsidRPr="00CF5B85" w:rsidRDefault="00A362BB" w:rsidP="00A362BB">
            <w:pPr>
              <w:jc w:val="right"/>
              <w:rPr>
                <w:color w:val="000000"/>
                <w:sz w:val="20"/>
                <w:szCs w:val="20"/>
              </w:rPr>
            </w:pPr>
            <w:r>
              <w:rPr>
                <w:rFonts w:ascii="Calibri" w:hAnsi="Calibri" w:cs="Calibri"/>
                <w:color w:val="000000"/>
                <w:sz w:val="22"/>
                <w:szCs w:val="22"/>
              </w:rPr>
              <w:t>1,9%</w:t>
            </w:r>
          </w:p>
        </w:tc>
      </w:tr>
      <w:tr w:rsidR="00A362BB" w:rsidRPr="002E77DC" w14:paraId="22672A15" w14:textId="77777777" w:rsidTr="00A362BB">
        <w:trPr>
          <w:trHeight w:val="332"/>
          <w:jc w:val="center"/>
        </w:trPr>
        <w:tc>
          <w:tcPr>
            <w:tcW w:w="4517" w:type="dxa"/>
            <w:vAlign w:val="center"/>
          </w:tcPr>
          <w:p w14:paraId="09D91360" w14:textId="77777777" w:rsidR="00A362BB" w:rsidRPr="002E77DC" w:rsidRDefault="00A362BB" w:rsidP="00A362BB">
            <w:pPr>
              <w:jc w:val="right"/>
              <w:rPr>
                <w:color w:val="000000"/>
                <w:sz w:val="20"/>
                <w:szCs w:val="20"/>
              </w:rPr>
            </w:pPr>
            <w:r w:rsidRPr="002E77DC">
              <w:rPr>
                <w:color w:val="000000"/>
                <w:sz w:val="20"/>
                <w:szCs w:val="20"/>
              </w:rPr>
              <w:t>Ieņēmumi par dokumentu izsniegšanu un kancelejas pakalpojumiem</w:t>
            </w:r>
          </w:p>
        </w:tc>
        <w:tc>
          <w:tcPr>
            <w:tcW w:w="1498" w:type="dxa"/>
            <w:tcBorders>
              <w:top w:val="single" w:sz="4" w:space="0" w:color="000000"/>
              <w:left w:val="single" w:sz="4" w:space="0" w:color="000000"/>
              <w:bottom w:val="single" w:sz="4" w:space="0" w:color="000000"/>
              <w:right w:val="single" w:sz="4" w:space="0" w:color="000000"/>
            </w:tcBorders>
            <w:vAlign w:val="center"/>
          </w:tcPr>
          <w:p w14:paraId="67C8F5DB" w14:textId="0ACA4157" w:rsidR="00A362BB" w:rsidRPr="00F354E3" w:rsidRDefault="00A362BB" w:rsidP="00A362BB">
            <w:pPr>
              <w:jc w:val="right"/>
              <w:rPr>
                <w:sz w:val="20"/>
                <w:szCs w:val="20"/>
              </w:rPr>
            </w:pPr>
            <w:r w:rsidRPr="00F354E3">
              <w:rPr>
                <w:color w:val="000000"/>
                <w:sz w:val="20"/>
                <w:szCs w:val="20"/>
              </w:rPr>
              <w:t>1 788</w:t>
            </w:r>
          </w:p>
        </w:tc>
        <w:tc>
          <w:tcPr>
            <w:tcW w:w="1669" w:type="dxa"/>
            <w:tcBorders>
              <w:top w:val="single" w:sz="4" w:space="0" w:color="000000"/>
              <w:left w:val="nil"/>
              <w:bottom w:val="single" w:sz="4" w:space="0" w:color="000000"/>
              <w:right w:val="single" w:sz="4" w:space="0" w:color="auto"/>
            </w:tcBorders>
            <w:vAlign w:val="center"/>
          </w:tcPr>
          <w:p w14:paraId="238CC44D" w14:textId="39CF0FCC" w:rsidR="00A362BB" w:rsidRPr="00F354E3" w:rsidRDefault="00A362BB" w:rsidP="00A362BB">
            <w:pPr>
              <w:jc w:val="right"/>
              <w:rPr>
                <w:sz w:val="20"/>
                <w:szCs w:val="20"/>
              </w:rPr>
            </w:pPr>
            <w:r w:rsidRPr="00F354E3">
              <w:rPr>
                <w:color w:val="000000"/>
                <w:sz w:val="20"/>
                <w:szCs w:val="20"/>
              </w:rPr>
              <w:t>1</w:t>
            </w:r>
            <w:r>
              <w:rPr>
                <w:color w:val="000000"/>
                <w:sz w:val="20"/>
                <w:szCs w:val="20"/>
              </w:rPr>
              <w:t> </w:t>
            </w:r>
            <w:r w:rsidRPr="00F354E3">
              <w:rPr>
                <w:color w:val="000000"/>
                <w:sz w:val="20"/>
                <w:szCs w:val="20"/>
              </w:rPr>
              <w:t>800</w:t>
            </w:r>
          </w:p>
        </w:tc>
        <w:tc>
          <w:tcPr>
            <w:tcW w:w="1711" w:type="dxa"/>
            <w:tcBorders>
              <w:top w:val="single" w:sz="4" w:space="0" w:color="auto"/>
              <w:left w:val="single" w:sz="4" w:space="0" w:color="auto"/>
              <w:bottom w:val="single" w:sz="4" w:space="0" w:color="auto"/>
              <w:right w:val="single" w:sz="4" w:space="0" w:color="auto"/>
            </w:tcBorders>
            <w:vAlign w:val="bottom"/>
          </w:tcPr>
          <w:p w14:paraId="6A538D78" w14:textId="0BF2FE37" w:rsidR="00A362BB" w:rsidRPr="00CF5B85" w:rsidRDefault="00A362BB" w:rsidP="00A362BB">
            <w:pPr>
              <w:jc w:val="right"/>
              <w:rPr>
                <w:color w:val="000000"/>
                <w:sz w:val="20"/>
                <w:szCs w:val="20"/>
              </w:rPr>
            </w:pPr>
            <w:r>
              <w:rPr>
                <w:rFonts w:ascii="Calibri" w:hAnsi="Calibri" w:cs="Calibri"/>
                <w:color w:val="000000"/>
                <w:sz w:val="22"/>
                <w:szCs w:val="22"/>
              </w:rPr>
              <w:t>0,7%</w:t>
            </w:r>
          </w:p>
        </w:tc>
      </w:tr>
      <w:tr w:rsidR="00A362BB" w:rsidRPr="002E77DC" w14:paraId="1BC31A07" w14:textId="77777777" w:rsidTr="00A362BB">
        <w:trPr>
          <w:trHeight w:val="332"/>
          <w:jc w:val="center"/>
        </w:trPr>
        <w:tc>
          <w:tcPr>
            <w:tcW w:w="4517" w:type="dxa"/>
            <w:vAlign w:val="center"/>
          </w:tcPr>
          <w:p w14:paraId="6AC63A46" w14:textId="77777777" w:rsidR="00A362BB" w:rsidRPr="002E77DC" w:rsidRDefault="00A362BB" w:rsidP="00A362BB">
            <w:pPr>
              <w:jc w:val="right"/>
              <w:rPr>
                <w:color w:val="000000"/>
                <w:sz w:val="20"/>
                <w:szCs w:val="20"/>
              </w:rPr>
            </w:pPr>
            <w:r w:rsidRPr="002E77DC">
              <w:rPr>
                <w:color w:val="000000"/>
                <w:sz w:val="20"/>
                <w:szCs w:val="20"/>
              </w:rPr>
              <w:t>Ieņēmumi par nomu un īri</w:t>
            </w:r>
          </w:p>
        </w:tc>
        <w:tc>
          <w:tcPr>
            <w:tcW w:w="1498" w:type="dxa"/>
            <w:tcBorders>
              <w:top w:val="single" w:sz="4" w:space="0" w:color="000000"/>
              <w:left w:val="single" w:sz="4" w:space="0" w:color="000000"/>
              <w:bottom w:val="single" w:sz="4" w:space="0" w:color="000000"/>
              <w:right w:val="single" w:sz="4" w:space="0" w:color="000000"/>
            </w:tcBorders>
            <w:vAlign w:val="center"/>
          </w:tcPr>
          <w:p w14:paraId="51B676AE" w14:textId="2EFFADC8" w:rsidR="00A362BB" w:rsidRPr="00F354E3" w:rsidRDefault="00A362BB" w:rsidP="00A362BB">
            <w:pPr>
              <w:jc w:val="right"/>
              <w:rPr>
                <w:sz w:val="20"/>
                <w:szCs w:val="20"/>
              </w:rPr>
            </w:pPr>
            <w:r w:rsidRPr="00F354E3">
              <w:rPr>
                <w:color w:val="000000"/>
                <w:sz w:val="20"/>
                <w:szCs w:val="20"/>
              </w:rPr>
              <w:t>899 591</w:t>
            </w:r>
          </w:p>
        </w:tc>
        <w:tc>
          <w:tcPr>
            <w:tcW w:w="1669" w:type="dxa"/>
            <w:tcBorders>
              <w:top w:val="single" w:sz="4" w:space="0" w:color="000000"/>
              <w:left w:val="nil"/>
              <w:bottom w:val="single" w:sz="4" w:space="0" w:color="000000"/>
              <w:right w:val="single" w:sz="4" w:space="0" w:color="auto"/>
            </w:tcBorders>
            <w:vAlign w:val="center"/>
          </w:tcPr>
          <w:p w14:paraId="5FF3D6BD" w14:textId="1BDD84BC" w:rsidR="00A362BB" w:rsidRPr="00F354E3" w:rsidRDefault="00A362BB" w:rsidP="00A362BB">
            <w:pPr>
              <w:jc w:val="right"/>
              <w:rPr>
                <w:sz w:val="20"/>
                <w:szCs w:val="20"/>
              </w:rPr>
            </w:pPr>
            <w:r w:rsidRPr="006F0C23">
              <w:rPr>
                <w:color w:val="000000"/>
                <w:sz w:val="20"/>
                <w:szCs w:val="20"/>
              </w:rPr>
              <w:t>933 381</w:t>
            </w:r>
          </w:p>
        </w:tc>
        <w:tc>
          <w:tcPr>
            <w:tcW w:w="1711" w:type="dxa"/>
            <w:tcBorders>
              <w:top w:val="single" w:sz="4" w:space="0" w:color="auto"/>
              <w:left w:val="single" w:sz="4" w:space="0" w:color="auto"/>
              <w:bottom w:val="single" w:sz="4" w:space="0" w:color="auto"/>
              <w:right w:val="single" w:sz="4" w:space="0" w:color="auto"/>
            </w:tcBorders>
            <w:vAlign w:val="bottom"/>
          </w:tcPr>
          <w:p w14:paraId="2881EF39" w14:textId="584AC41B" w:rsidR="00A362BB" w:rsidRPr="00CF5B85" w:rsidRDefault="00A362BB" w:rsidP="00A362BB">
            <w:pPr>
              <w:jc w:val="right"/>
              <w:rPr>
                <w:color w:val="000000"/>
                <w:sz w:val="20"/>
                <w:szCs w:val="20"/>
              </w:rPr>
            </w:pPr>
            <w:r>
              <w:rPr>
                <w:rFonts w:ascii="Calibri" w:hAnsi="Calibri" w:cs="Calibri"/>
                <w:color w:val="000000"/>
                <w:sz w:val="22"/>
                <w:szCs w:val="22"/>
              </w:rPr>
              <w:t>3,8%</w:t>
            </w:r>
          </w:p>
        </w:tc>
      </w:tr>
      <w:tr w:rsidR="00A362BB" w:rsidRPr="002E77DC" w14:paraId="4DA6387A" w14:textId="77777777" w:rsidTr="007B66D0">
        <w:trPr>
          <w:trHeight w:val="332"/>
          <w:jc w:val="center"/>
        </w:trPr>
        <w:tc>
          <w:tcPr>
            <w:tcW w:w="4517" w:type="dxa"/>
            <w:vAlign w:val="center"/>
          </w:tcPr>
          <w:p w14:paraId="26CA3A7D" w14:textId="77777777" w:rsidR="00A362BB" w:rsidRPr="002E77DC" w:rsidRDefault="00A362BB" w:rsidP="00A362BB">
            <w:pPr>
              <w:jc w:val="right"/>
              <w:rPr>
                <w:color w:val="000000"/>
                <w:sz w:val="20"/>
                <w:szCs w:val="20"/>
              </w:rPr>
            </w:pPr>
            <w:r w:rsidRPr="00A445C1">
              <w:rPr>
                <w:color w:val="000000"/>
                <w:sz w:val="20"/>
                <w:szCs w:val="20"/>
              </w:rPr>
              <w:t>Ieņēmumi par pārējiem sniegtajiem maksas pakalpojumiem</w:t>
            </w:r>
          </w:p>
        </w:tc>
        <w:tc>
          <w:tcPr>
            <w:tcW w:w="1498" w:type="dxa"/>
            <w:vAlign w:val="center"/>
          </w:tcPr>
          <w:p w14:paraId="37328CE0" w14:textId="347805B8" w:rsidR="00A362BB" w:rsidRPr="00F354E3" w:rsidRDefault="00A362BB" w:rsidP="00A362BB">
            <w:pPr>
              <w:jc w:val="right"/>
              <w:rPr>
                <w:sz w:val="20"/>
                <w:szCs w:val="20"/>
              </w:rPr>
            </w:pPr>
            <w:r w:rsidRPr="00F354E3">
              <w:rPr>
                <w:sz w:val="20"/>
                <w:szCs w:val="20"/>
              </w:rPr>
              <w:t>508 679</w:t>
            </w:r>
          </w:p>
        </w:tc>
        <w:tc>
          <w:tcPr>
            <w:tcW w:w="1669" w:type="dxa"/>
            <w:vAlign w:val="center"/>
          </w:tcPr>
          <w:p w14:paraId="29534172" w14:textId="66BEE6A9" w:rsidR="00A362BB" w:rsidRPr="00F354E3" w:rsidRDefault="00A362BB" w:rsidP="00A362BB">
            <w:pPr>
              <w:jc w:val="right"/>
              <w:rPr>
                <w:sz w:val="20"/>
                <w:szCs w:val="20"/>
              </w:rPr>
            </w:pPr>
            <w:r w:rsidRPr="00F354E3">
              <w:rPr>
                <w:sz w:val="20"/>
                <w:szCs w:val="20"/>
              </w:rPr>
              <w:t>512 510</w:t>
            </w:r>
          </w:p>
        </w:tc>
        <w:tc>
          <w:tcPr>
            <w:tcW w:w="1711" w:type="dxa"/>
            <w:tcBorders>
              <w:top w:val="single" w:sz="4" w:space="0" w:color="auto"/>
              <w:left w:val="nil"/>
              <w:bottom w:val="single" w:sz="4" w:space="0" w:color="auto"/>
              <w:right w:val="single" w:sz="4" w:space="0" w:color="auto"/>
            </w:tcBorders>
            <w:vAlign w:val="center"/>
          </w:tcPr>
          <w:p w14:paraId="7A02849B" w14:textId="329513A7" w:rsidR="00A362BB" w:rsidRPr="00CF5B85" w:rsidRDefault="00A362BB" w:rsidP="00A362BB">
            <w:pPr>
              <w:jc w:val="right"/>
              <w:rPr>
                <w:color w:val="000000"/>
                <w:sz w:val="20"/>
                <w:szCs w:val="20"/>
              </w:rPr>
            </w:pPr>
            <w:r>
              <w:rPr>
                <w:rFonts w:ascii="Calibri" w:hAnsi="Calibri" w:cs="Calibri"/>
                <w:color w:val="000000"/>
                <w:sz w:val="22"/>
                <w:szCs w:val="22"/>
              </w:rPr>
              <w:t>0,8%</w:t>
            </w:r>
          </w:p>
        </w:tc>
      </w:tr>
      <w:tr w:rsidR="00A362BB" w:rsidRPr="002E77DC" w14:paraId="2414CE9F" w14:textId="77777777" w:rsidTr="00A362BB">
        <w:trPr>
          <w:trHeight w:val="332"/>
          <w:jc w:val="center"/>
        </w:trPr>
        <w:tc>
          <w:tcPr>
            <w:tcW w:w="4517" w:type="dxa"/>
            <w:vAlign w:val="center"/>
          </w:tcPr>
          <w:p w14:paraId="7CD1780F" w14:textId="77777777" w:rsidR="00A362BB" w:rsidRPr="002E77DC" w:rsidRDefault="00A362BB" w:rsidP="00A362BB">
            <w:pPr>
              <w:jc w:val="right"/>
              <w:rPr>
                <w:color w:val="000000"/>
                <w:sz w:val="20"/>
                <w:szCs w:val="20"/>
              </w:rPr>
            </w:pPr>
            <w:r w:rsidRPr="002E77DC">
              <w:rPr>
                <w:color w:val="000000"/>
                <w:sz w:val="20"/>
                <w:szCs w:val="20"/>
              </w:rPr>
              <w:t>Citi pašu ieņēmumi</w:t>
            </w:r>
          </w:p>
        </w:tc>
        <w:tc>
          <w:tcPr>
            <w:tcW w:w="1498" w:type="dxa"/>
            <w:vAlign w:val="center"/>
          </w:tcPr>
          <w:p w14:paraId="0AF7CC31" w14:textId="0B4D7187" w:rsidR="00A362BB" w:rsidRPr="00F354E3" w:rsidRDefault="00A362BB" w:rsidP="00A362BB">
            <w:pPr>
              <w:jc w:val="right"/>
              <w:rPr>
                <w:sz w:val="20"/>
                <w:szCs w:val="20"/>
              </w:rPr>
            </w:pPr>
            <w:r w:rsidRPr="00F354E3">
              <w:rPr>
                <w:sz w:val="20"/>
                <w:szCs w:val="20"/>
              </w:rPr>
              <w:t>209 735</w:t>
            </w:r>
          </w:p>
        </w:tc>
        <w:tc>
          <w:tcPr>
            <w:tcW w:w="1669" w:type="dxa"/>
            <w:vAlign w:val="center"/>
          </w:tcPr>
          <w:p w14:paraId="5F612746" w14:textId="33FC569F" w:rsidR="00A362BB" w:rsidRPr="00F354E3" w:rsidRDefault="00A362BB" w:rsidP="00A362BB">
            <w:pPr>
              <w:jc w:val="right"/>
              <w:rPr>
                <w:sz w:val="20"/>
                <w:szCs w:val="20"/>
              </w:rPr>
            </w:pPr>
            <w:r w:rsidRPr="00F354E3">
              <w:rPr>
                <w:sz w:val="20"/>
                <w:szCs w:val="20"/>
              </w:rPr>
              <w:t>151 165</w:t>
            </w:r>
          </w:p>
        </w:tc>
        <w:tc>
          <w:tcPr>
            <w:tcW w:w="1711" w:type="dxa"/>
            <w:tcBorders>
              <w:top w:val="single" w:sz="4" w:space="0" w:color="auto"/>
              <w:left w:val="nil"/>
              <w:bottom w:val="single" w:sz="4" w:space="0" w:color="auto"/>
              <w:right w:val="single" w:sz="4" w:space="0" w:color="auto"/>
            </w:tcBorders>
            <w:vAlign w:val="bottom"/>
          </w:tcPr>
          <w:p w14:paraId="2D2CA077" w14:textId="076CB7FA" w:rsidR="00A362BB" w:rsidRPr="00CF5B85" w:rsidRDefault="00A362BB" w:rsidP="00A362BB">
            <w:pPr>
              <w:jc w:val="right"/>
              <w:rPr>
                <w:color w:val="000000"/>
                <w:sz w:val="20"/>
                <w:szCs w:val="20"/>
              </w:rPr>
            </w:pPr>
            <w:r>
              <w:rPr>
                <w:rFonts w:ascii="Calibri" w:hAnsi="Calibri" w:cs="Calibri"/>
                <w:color w:val="000000"/>
                <w:sz w:val="22"/>
                <w:szCs w:val="22"/>
              </w:rPr>
              <w:t>-27,9%</w:t>
            </w:r>
          </w:p>
        </w:tc>
      </w:tr>
    </w:tbl>
    <w:p w14:paraId="4D4777FD" w14:textId="77777777" w:rsidR="006E210F" w:rsidRDefault="006E210F" w:rsidP="006E210F">
      <w:pPr>
        <w:spacing w:line="360" w:lineRule="auto"/>
        <w:ind w:firstLine="840"/>
      </w:pPr>
    </w:p>
    <w:p w14:paraId="49D2F0AA" w14:textId="250A72C7" w:rsidR="006E210F" w:rsidRPr="002E77DC" w:rsidRDefault="006E210F" w:rsidP="006E210F">
      <w:pPr>
        <w:spacing w:line="360" w:lineRule="auto"/>
        <w:ind w:firstLine="840"/>
        <w:jc w:val="both"/>
      </w:pPr>
      <w:r w:rsidRPr="006072EC">
        <w:t>Mērķdotācijas (valsts budžeta transferti) apjoms no valsts budžeta 202</w:t>
      </w:r>
      <w:r w:rsidR="00FB6759">
        <w:t>6</w:t>
      </w:r>
      <w:r w:rsidRPr="006072EC">
        <w:t xml:space="preserve">. gadā tiek plānots </w:t>
      </w:r>
      <w:r w:rsidR="005D35CF" w:rsidRPr="005D35CF">
        <w:t xml:space="preserve">19 991 398 </w:t>
      </w:r>
      <w:r>
        <w:t>EUR</w:t>
      </w:r>
      <w:r w:rsidRPr="006072EC">
        <w:t xml:space="preserve"> apmērā</w:t>
      </w:r>
      <w:r w:rsidR="00092412">
        <w:t>, t.i</w:t>
      </w:r>
      <w:r w:rsidR="00A43B36">
        <w:t>.</w:t>
      </w:r>
      <w:r w:rsidR="00092412">
        <w:t xml:space="preserve">, par </w:t>
      </w:r>
      <w:r w:rsidR="005B43A9">
        <w:t>4,8</w:t>
      </w:r>
      <w:r w:rsidR="008A5ABC">
        <w:t> </w:t>
      </w:r>
      <w:r w:rsidR="00216178">
        <w:t xml:space="preserve">% jeb </w:t>
      </w:r>
      <w:r w:rsidR="005B43A9" w:rsidRPr="005B43A9">
        <w:t>921 695</w:t>
      </w:r>
      <w:r w:rsidR="00216178">
        <w:t xml:space="preserve"> EUR vairāk kā saņēmām 2025. gadā.</w:t>
      </w:r>
    </w:p>
    <w:p w14:paraId="3C6775BC" w14:textId="757C5FA0" w:rsidR="006E210F" w:rsidRDefault="006E210F" w:rsidP="006E210F">
      <w:pPr>
        <w:spacing w:line="360" w:lineRule="auto"/>
        <w:ind w:firstLine="840"/>
        <w:jc w:val="both"/>
      </w:pPr>
      <w:r>
        <w:t>L</w:t>
      </w:r>
      <w:r w:rsidRPr="006072EC">
        <w:t xml:space="preserve">ielāko mērķdotāciju apjomu </w:t>
      </w:r>
      <w:r>
        <w:t xml:space="preserve">pašvaldībā </w:t>
      </w:r>
      <w:r w:rsidRPr="006072EC">
        <w:t xml:space="preserve"> saņem</w:t>
      </w:r>
      <w:r>
        <w:t>s</w:t>
      </w:r>
      <w:r w:rsidRPr="006072EC">
        <w:t xml:space="preserve"> izglītības nozare – </w:t>
      </w:r>
      <w:r w:rsidR="00D449E7" w:rsidRPr="00D449E7">
        <w:t xml:space="preserve">15 346 672 </w:t>
      </w:r>
      <w:r>
        <w:t>EUR</w:t>
      </w:r>
      <w:r w:rsidR="00D449E7">
        <w:t>, t.i.</w:t>
      </w:r>
      <w:r w:rsidR="00283EC9">
        <w:t>,</w:t>
      </w:r>
      <w:r w:rsidR="00D449E7">
        <w:t xml:space="preserve"> par 1% vairāk kā gadu iepr</w:t>
      </w:r>
      <w:r w:rsidR="005D35CF">
        <w:t>iekš</w:t>
      </w:r>
      <w:r>
        <w:t>. Mērķdotācijas autoceļu uzturēšanai no Satiksmes ministrijas plānot</w:t>
      </w:r>
      <w:r w:rsidR="00850DE6">
        <w:t>a</w:t>
      </w:r>
      <w:r>
        <w:t xml:space="preserve"> </w:t>
      </w:r>
      <w:r w:rsidRPr="00380634">
        <w:t>1</w:t>
      </w:r>
      <w:r>
        <w:t xml:space="preserve"> </w:t>
      </w:r>
      <w:r w:rsidRPr="00380634">
        <w:t>809</w:t>
      </w:r>
      <w:r>
        <w:t xml:space="preserve"> </w:t>
      </w:r>
      <w:r w:rsidRPr="00380634">
        <w:t>875</w:t>
      </w:r>
      <w:r>
        <w:t xml:space="preserve"> EUR</w:t>
      </w:r>
      <w:r w:rsidR="00850DE6">
        <w:t xml:space="preserve"> apmērā</w:t>
      </w:r>
      <w:r>
        <w:t xml:space="preserve">. No Nacionālās veselības dienesta plānojam saņemt </w:t>
      </w:r>
      <w:r w:rsidR="00701403" w:rsidRPr="00701403">
        <w:t xml:space="preserve">214 875 </w:t>
      </w:r>
      <w:r>
        <w:t xml:space="preserve">EUR  jeb </w:t>
      </w:r>
      <w:r w:rsidR="00EC068C">
        <w:t>0,2</w:t>
      </w:r>
      <w:r>
        <w:t xml:space="preserve"> % vairāk </w:t>
      </w:r>
      <w:r w:rsidR="006E5361">
        <w:t>ne</w:t>
      </w:r>
      <w:r>
        <w:t>kā 202</w:t>
      </w:r>
      <w:r w:rsidR="00EC068C">
        <w:t>5</w:t>
      </w:r>
      <w:r>
        <w:t>.</w:t>
      </w:r>
      <w:r w:rsidR="006E5361">
        <w:t xml:space="preserve"> </w:t>
      </w:r>
      <w:r>
        <w:t>gadā pagastu feldšerpunktu uzturēšanai un mājas aprūpes nodrošināšanai.</w:t>
      </w:r>
    </w:p>
    <w:p w14:paraId="681C8E2D" w14:textId="7B5A13ED" w:rsidR="006E210F" w:rsidRPr="002E77DC" w:rsidRDefault="006E210F" w:rsidP="006E210F">
      <w:pPr>
        <w:spacing w:line="360" w:lineRule="auto"/>
        <w:ind w:firstLine="840"/>
        <w:jc w:val="both"/>
      </w:pPr>
      <w:r>
        <w:t xml:space="preserve">Sociālajā jomā valsts mērķdotācijas plānotas </w:t>
      </w:r>
      <w:r w:rsidR="00A0723D" w:rsidRPr="00A0723D">
        <w:t xml:space="preserve">1 464 002 </w:t>
      </w:r>
      <w:r>
        <w:t xml:space="preserve">EUR apjomā, t.sk. </w:t>
      </w:r>
      <w:r w:rsidR="001B525B" w:rsidRPr="001B525B">
        <w:t>972 902</w:t>
      </w:r>
      <w:r>
        <w:t xml:space="preserve"> EUR asistentu pakalpojumu nodrošināšanai</w:t>
      </w:r>
      <w:r w:rsidR="005F477D">
        <w:t xml:space="preserve">, </w:t>
      </w:r>
      <w:r w:rsidR="001D753C" w:rsidRPr="001D753C">
        <w:t>451</w:t>
      </w:r>
      <w:r w:rsidR="001D753C">
        <w:t> </w:t>
      </w:r>
      <w:r w:rsidR="001D753C" w:rsidRPr="001D753C">
        <w:t>000</w:t>
      </w:r>
      <w:r w:rsidR="001D753C">
        <w:t xml:space="preserve"> EUR soci</w:t>
      </w:r>
      <w:r w:rsidR="006B76A0">
        <w:t>āliem pabalstiem</w:t>
      </w:r>
      <w:r w:rsidR="00B7457C">
        <w:t>.</w:t>
      </w:r>
      <w:r w:rsidR="006B76A0">
        <w:t xml:space="preserve"> </w:t>
      </w:r>
    </w:p>
    <w:p w14:paraId="2A874F3B" w14:textId="43087658" w:rsidR="006E210F" w:rsidRDefault="006E210F" w:rsidP="006E210F">
      <w:pPr>
        <w:pStyle w:val="Sarakstarindkopa"/>
        <w:spacing w:line="360" w:lineRule="auto"/>
        <w:ind w:left="0" w:firstLine="851"/>
        <w:jc w:val="both"/>
      </w:pPr>
      <w:r w:rsidRPr="002E77DC">
        <w:t xml:space="preserve">Iepriekšējā gadā saņēmām </w:t>
      </w:r>
      <w:r w:rsidR="00A22D86">
        <w:t xml:space="preserve">no valsts </w:t>
      </w:r>
      <w:r>
        <w:t>ES līdzfinansēto</w:t>
      </w:r>
      <w:r w:rsidRPr="002E77DC">
        <w:t xml:space="preserve"> projektu īstenošanai </w:t>
      </w:r>
      <w:r>
        <w:t xml:space="preserve"> </w:t>
      </w:r>
      <w:r w:rsidR="0019213D" w:rsidRPr="0019213D">
        <w:t xml:space="preserve">2 000 926 </w:t>
      </w:r>
      <w:r w:rsidRPr="002E77DC">
        <w:t>EUR, bet 202</w:t>
      </w:r>
      <w:r w:rsidR="0019213D">
        <w:t>6</w:t>
      </w:r>
      <w:r w:rsidRPr="002E77DC">
        <w:t>.</w:t>
      </w:r>
      <w:r w:rsidR="00172951">
        <w:t xml:space="preserve"> </w:t>
      </w:r>
      <w:r>
        <w:t xml:space="preserve">gadā plānojam saņemt </w:t>
      </w:r>
      <w:r w:rsidR="00F876C3" w:rsidRPr="00F876C3">
        <w:t xml:space="preserve">5 100 534 </w:t>
      </w:r>
      <w:r>
        <w:t>eiro</w:t>
      </w:r>
      <w:r w:rsidR="001E181A">
        <w:t>,</w:t>
      </w:r>
      <w:r>
        <w:t xml:space="preserve"> t.i., </w:t>
      </w:r>
      <w:r w:rsidR="00F876C3">
        <w:t>1,5</w:t>
      </w:r>
      <w:r>
        <w:t xml:space="preserve"> reizes vairāk </w:t>
      </w:r>
      <w:r w:rsidR="00172951">
        <w:t>ne</w:t>
      </w:r>
      <w:r>
        <w:t>kā iepriekšējā gadā.</w:t>
      </w:r>
      <w:r w:rsidRPr="002E77DC">
        <w:t xml:space="preserve"> </w:t>
      </w:r>
      <w:r>
        <w:t xml:space="preserve">Pašvaldība plāno saņemt lielākos līdzfinansējumus šādiem investīciju </w:t>
      </w:r>
      <w:r w:rsidRPr="002E77DC">
        <w:t>projektiem:</w:t>
      </w:r>
    </w:p>
    <w:tbl>
      <w:tblPr>
        <w:tblStyle w:val="Reatabula"/>
        <w:tblW w:w="0" w:type="auto"/>
        <w:tblInd w:w="786" w:type="dxa"/>
        <w:tblLook w:val="04A0" w:firstRow="1" w:lastRow="0" w:firstColumn="1" w:lastColumn="0" w:noHBand="0" w:noVBand="1"/>
      </w:tblPr>
      <w:tblGrid>
        <w:gridCol w:w="6718"/>
        <w:gridCol w:w="1891"/>
      </w:tblGrid>
      <w:tr w:rsidR="006E210F" w:rsidRPr="002E77DC" w14:paraId="46ECCBF5" w14:textId="77777777" w:rsidTr="00183521">
        <w:trPr>
          <w:trHeight w:val="846"/>
        </w:trPr>
        <w:tc>
          <w:tcPr>
            <w:tcW w:w="6718" w:type="dxa"/>
            <w:vAlign w:val="center"/>
          </w:tcPr>
          <w:p w14:paraId="23F76014" w14:textId="77777777" w:rsidR="006E210F" w:rsidRPr="002E77DC" w:rsidRDefault="006E210F" w:rsidP="00183521">
            <w:pPr>
              <w:pStyle w:val="Sarakstarindkopa"/>
              <w:spacing w:line="360" w:lineRule="auto"/>
              <w:ind w:left="0"/>
              <w:jc w:val="center"/>
            </w:pPr>
            <w:r w:rsidRPr="002E77DC">
              <w:t>Projektu nosaukumi</w:t>
            </w:r>
          </w:p>
        </w:tc>
        <w:tc>
          <w:tcPr>
            <w:tcW w:w="1891" w:type="dxa"/>
            <w:vAlign w:val="center"/>
          </w:tcPr>
          <w:p w14:paraId="642DAA58" w14:textId="29B4F612" w:rsidR="006E210F" w:rsidRPr="002E77DC" w:rsidRDefault="006E210F" w:rsidP="00183521">
            <w:pPr>
              <w:autoSpaceDE w:val="0"/>
              <w:autoSpaceDN w:val="0"/>
              <w:adjustRightInd w:val="0"/>
              <w:spacing w:after="120"/>
              <w:jc w:val="center"/>
              <w:rPr>
                <w:rFonts w:eastAsia="Calibri"/>
              </w:rPr>
            </w:pPr>
            <w:r w:rsidRPr="002E77DC">
              <w:rPr>
                <w:rFonts w:eastAsia="Calibri"/>
              </w:rPr>
              <w:t>202</w:t>
            </w:r>
            <w:r w:rsidR="003806D8">
              <w:rPr>
                <w:rFonts w:eastAsia="Calibri"/>
              </w:rPr>
              <w:t>6</w:t>
            </w:r>
            <w:r w:rsidRPr="002E77DC">
              <w:rPr>
                <w:rFonts w:eastAsia="Calibri"/>
              </w:rPr>
              <w:t>.</w:t>
            </w:r>
            <w:r w:rsidR="0061785D">
              <w:rPr>
                <w:rFonts w:eastAsia="Calibri"/>
              </w:rPr>
              <w:t xml:space="preserve"> </w:t>
            </w:r>
            <w:r w:rsidRPr="002E77DC">
              <w:rPr>
                <w:rFonts w:eastAsia="Calibri"/>
              </w:rPr>
              <w:t>gada budžeta prognoze</w:t>
            </w:r>
            <w:r>
              <w:rPr>
                <w:rFonts w:eastAsia="Calibri"/>
              </w:rPr>
              <w:t xml:space="preserve"> EUR</w:t>
            </w:r>
          </w:p>
        </w:tc>
      </w:tr>
      <w:tr w:rsidR="006E210F" w:rsidRPr="002E77DC" w14:paraId="6E3C8F0C" w14:textId="77777777" w:rsidTr="00183521">
        <w:trPr>
          <w:trHeight w:val="237"/>
        </w:trPr>
        <w:tc>
          <w:tcPr>
            <w:tcW w:w="6718" w:type="dxa"/>
          </w:tcPr>
          <w:p w14:paraId="0559559E" w14:textId="2D75AEDE" w:rsidR="006E210F" w:rsidRPr="002E77DC" w:rsidRDefault="0057788B" w:rsidP="00183521">
            <w:pPr>
              <w:pStyle w:val="Sarakstarindkopa"/>
              <w:ind w:left="0"/>
            </w:pPr>
            <w:r w:rsidRPr="0057788B">
              <w:t>Priekules vidusskolas infrastruktūras uzlabošana</w:t>
            </w:r>
          </w:p>
        </w:tc>
        <w:tc>
          <w:tcPr>
            <w:tcW w:w="1891" w:type="dxa"/>
            <w:vAlign w:val="center"/>
          </w:tcPr>
          <w:p w14:paraId="4F36392F" w14:textId="456A5B08" w:rsidR="006E210F" w:rsidRPr="002E77DC" w:rsidRDefault="001C7F98" w:rsidP="00183521">
            <w:pPr>
              <w:pStyle w:val="Sarakstarindkopa"/>
              <w:ind w:left="0"/>
              <w:jc w:val="center"/>
            </w:pPr>
            <w:r w:rsidRPr="001C7F98">
              <w:t>1 359 007</w:t>
            </w:r>
          </w:p>
        </w:tc>
      </w:tr>
      <w:tr w:rsidR="006E210F" w:rsidRPr="002E77DC" w14:paraId="4B427FA4" w14:textId="77777777" w:rsidTr="001267C8">
        <w:trPr>
          <w:trHeight w:val="310"/>
        </w:trPr>
        <w:tc>
          <w:tcPr>
            <w:tcW w:w="6718" w:type="dxa"/>
          </w:tcPr>
          <w:p w14:paraId="2448AA6F" w14:textId="16C238D7" w:rsidR="006E210F" w:rsidRPr="002E77DC" w:rsidRDefault="00B00E9E" w:rsidP="00183521">
            <w:pPr>
              <w:pStyle w:val="Sarakstarindkopa"/>
              <w:ind w:left="0"/>
            </w:pPr>
            <w:r w:rsidRPr="00B00E9E">
              <w:t>Uzņēmējdarbībai nepieciešamās infrastruktūras attīstība</w:t>
            </w:r>
          </w:p>
        </w:tc>
        <w:tc>
          <w:tcPr>
            <w:tcW w:w="1891" w:type="dxa"/>
            <w:vAlign w:val="center"/>
          </w:tcPr>
          <w:p w14:paraId="12BF2D88" w14:textId="505664D4" w:rsidR="006E210F" w:rsidRPr="002E77DC" w:rsidRDefault="00B00E9E" w:rsidP="00183521">
            <w:pPr>
              <w:pStyle w:val="Sarakstarindkopa"/>
              <w:spacing w:line="360" w:lineRule="auto"/>
              <w:ind w:left="0"/>
              <w:jc w:val="center"/>
            </w:pPr>
            <w:r w:rsidRPr="00B00E9E">
              <w:t>811 822</w:t>
            </w:r>
          </w:p>
        </w:tc>
      </w:tr>
      <w:tr w:rsidR="006E210F" w:rsidRPr="002E77DC" w14:paraId="6B3E3111" w14:textId="77777777" w:rsidTr="001267C8">
        <w:trPr>
          <w:trHeight w:val="317"/>
        </w:trPr>
        <w:tc>
          <w:tcPr>
            <w:tcW w:w="6718" w:type="dxa"/>
          </w:tcPr>
          <w:p w14:paraId="51278A1F" w14:textId="62FC6989" w:rsidR="006E210F" w:rsidRPr="002E77DC" w:rsidRDefault="00217BF7" w:rsidP="00183521">
            <w:pPr>
              <w:pStyle w:val="Sarakstarindkopa"/>
              <w:ind w:left="0"/>
            </w:pPr>
            <w:r w:rsidRPr="00217BF7">
              <w:t>ERAF- Sociālo mājokļu (ēku) atjaunošana</w:t>
            </w:r>
          </w:p>
        </w:tc>
        <w:tc>
          <w:tcPr>
            <w:tcW w:w="1891" w:type="dxa"/>
            <w:vAlign w:val="center"/>
          </w:tcPr>
          <w:p w14:paraId="74EAB567" w14:textId="2FEBEC53" w:rsidR="006E210F" w:rsidRPr="002E77DC" w:rsidRDefault="00217BF7" w:rsidP="00183521">
            <w:pPr>
              <w:pStyle w:val="Sarakstarindkopa"/>
              <w:spacing w:line="360" w:lineRule="auto"/>
              <w:ind w:left="0"/>
              <w:jc w:val="center"/>
            </w:pPr>
            <w:r w:rsidRPr="00217BF7">
              <w:t>460 900</w:t>
            </w:r>
          </w:p>
        </w:tc>
      </w:tr>
      <w:tr w:rsidR="006E210F" w:rsidRPr="002E77DC" w14:paraId="0D8091B0" w14:textId="77777777" w:rsidTr="00183521">
        <w:trPr>
          <w:trHeight w:val="410"/>
        </w:trPr>
        <w:tc>
          <w:tcPr>
            <w:tcW w:w="6718" w:type="dxa"/>
          </w:tcPr>
          <w:p w14:paraId="4BED54BB" w14:textId="031DFEC1" w:rsidR="006E210F" w:rsidRDefault="00EF4F2E" w:rsidP="00183521">
            <w:pPr>
              <w:pStyle w:val="Sarakstarindkopa"/>
              <w:ind w:left="0"/>
            </w:pPr>
            <w:r w:rsidRPr="00EF4F2E">
              <w:t>EJZAF - Tirgus ielas pārbūve zivsaimniecības tradīciju saglabāšanai un tūrisma veicināšanai piekrastē - Pāvilosta</w:t>
            </w:r>
          </w:p>
        </w:tc>
        <w:tc>
          <w:tcPr>
            <w:tcW w:w="1891" w:type="dxa"/>
            <w:vAlign w:val="center"/>
          </w:tcPr>
          <w:p w14:paraId="6AD87800" w14:textId="69947E98" w:rsidR="006E210F" w:rsidRPr="00EF5BC3" w:rsidRDefault="00EF4F2E" w:rsidP="00183521">
            <w:pPr>
              <w:pStyle w:val="Sarakstarindkopa"/>
              <w:spacing w:line="360" w:lineRule="auto"/>
              <w:ind w:left="0"/>
              <w:jc w:val="center"/>
            </w:pPr>
            <w:r w:rsidRPr="00EF4F2E">
              <w:t>233 099</w:t>
            </w:r>
          </w:p>
        </w:tc>
      </w:tr>
      <w:tr w:rsidR="006E210F" w:rsidRPr="002E77DC" w14:paraId="548592F9" w14:textId="77777777" w:rsidTr="00183521">
        <w:trPr>
          <w:trHeight w:val="410"/>
        </w:trPr>
        <w:tc>
          <w:tcPr>
            <w:tcW w:w="6718" w:type="dxa"/>
          </w:tcPr>
          <w:p w14:paraId="1861BFD1" w14:textId="6405CF55" w:rsidR="006E210F" w:rsidRPr="00D44368" w:rsidRDefault="0074091A" w:rsidP="00183521">
            <w:pPr>
              <w:pStyle w:val="Sarakstarindkopa"/>
              <w:ind w:left="0"/>
            </w:pPr>
            <w:r w:rsidRPr="00040FF2">
              <w:t>ESF+</w:t>
            </w:r>
            <w:r>
              <w:t xml:space="preserve"> </w:t>
            </w:r>
            <w:r w:rsidR="00040FF2" w:rsidRPr="00040FF2">
              <w:t xml:space="preserve">Dienas aprūpes centra izveide pensijas vecuma personām </w:t>
            </w:r>
          </w:p>
        </w:tc>
        <w:tc>
          <w:tcPr>
            <w:tcW w:w="1891" w:type="dxa"/>
            <w:vAlign w:val="center"/>
          </w:tcPr>
          <w:p w14:paraId="79087536" w14:textId="39DE1625" w:rsidR="006E210F" w:rsidRPr="00D44368" w:rsidRDefault="00040FF2" w:rsidP="00183521">
            <w:pPr>
              <w:pStyle w:val="Sarakstarindkopa"/>
              <w:spacing w:line="360" w:lineRule="auto"/>
              <w:ind w:left="0"/>
              <w:jc w:val="center"/>
            </w:pPr>
            <w:r w:rsidRPr="00040FF2">
              <w:t>173 202</w:t>
            </w:r>
          </w:p>
        </w:tc>
      </w:tr>
      <w:tr w:rsidR="006E210F" w:rsidRPr="002E77DC" w14:paraId="164941C8" w14:textId="77777777" w:rsidTr="00183521">
        <w:trPr>
          <w:trHeight w:val="555"/>
        </w:trPr>
        <w:tc>
          <w:tcPr>
            <w:tcW w:w="6718" w:type="dxa"/>
          </w:tcPr>
          <w:p w14:paraId="23644C20" w14:textId="0C237E13" w:rsidR="006E210F" w:rsidRPr="002E77DC" w:rsidRDefault="00DD5338" w:rsidP="00183521">
            <w:pPr>
              <w:pStyle w:val="Sarakstarindkopa"/>
              <w:ind w:left="0"/>
            </w:pPr>
            <w:r w:rsidRPr="00DD5338">
              <w:lastRenderedPageBreak/>
              <w:t>Vides pieejamības nodrošināšana Avotu ielā 2, Aizputē, Dienvidkurzemes novadā, Nr.3.1.2.1.i.0/1/22/I/CFLA/009</w:t>
            </w:r>
          </w:p>
        </w:tc>
        <w:tc>
          <w:tcPr>
            <w:tcW w:w="1891" w:type="dxa"/>
            <w:vAlign w:val="center"/>
          </w:tcPr>
          <w:p w14:paraId="59C93028" w14:textId="0C4FEB0F" w:rsidR="006E210F" w:rsidRPr="002E77DC" w:rsidRDefault="00DD5338" w:rsidP="00183521">
            <w:pPr>
              <w:pStyle w:val="Sarakstarindkopa"/>
              <w:spacing w:line="360" w:lineRule="auto"/>
              <w:ind w:left="0"/>
              <w:jc w:val="center"/>
            </w:pPr>
            <w:r w:rsidRPr="00DD5338">
              <w:t>154 892</w:t>
            </w:r>
          </w:p>
        </w:tc>
      </w:tr>
      <w:tr w:rsidR="006E210F" w:rsidRPr="002E77DC" w14:paraId="7E374B9C" w14:textId="77777777" w:rsidTr="00895D7A">
        <w:trPr>
          <w:trHeight w:val="404"/>
        </w:trPr>
        <w:tc>
          <w:tcPr>
            <w:tcW w:w="6718" w:type="dxa"/>
          </w:tcPr>
          <w:p w14:paraId="136D4191" w14:textId="6E503345" w:rsidR="006E210F" w:rsidRDefault="00EB71B7" w:rsidP="00183521">
            <w:pPr>
              <w:pStyle w:val="Sarakstarindkopa"/>
              <w:ind w:left="0"/>
            </w:pPr>
            <w:r w:rsidRPr="00EB71B7">
              <w:t>Vaiņodes vidusskolas infrastruktūras uzlabošana</w:t>
            </w:r>
          </w:p>
        </w:tc>
        <w:tc>
          <w:tcPr>
            <w:tcW w:w="1891" w:type="dxa"/>
            <w:vAlign w:val="center"/>
          </w:tcPr>
          <w:p w14:paraId="61791C15" w14:textId="5F9237F6" w:rsidR="006E210F" w:rsidRPr="003039C4" w:rsidRDefault="00EB71B7" w:rsidP="00183521">
            <w:pPr>
              <w:pStyle w:val="Sarakstarindkopa"/>
              <w:spacing w:line="360" w:lineRule="auto"/>
              <w:ind w:left="0"/>
              <w:jc w:val="center"/>
            </w:pPr>
            <w:r w:rsidRPr="00EB71B7">
              <w:t>150 000</w:t>
            </w:r>
          </w:p>
        </w:tc>
      </w:tr>
      <w:tr w:rsidR="006E210F" w:rsidRPr="002E77DC" w14:paraId="62041BCD" w14:textId="77777777" w:rsidTr="00116994">
        <w:trPr>
          <w:trHeight w:val="567"/>
        </w:trPr>
        <w:tc>
          <w:tcPr>
            <w:tcW w:w="6718" w:type="dxa"/>
          </w:tcPr>
          <w:p w14:paraId="2A5C94C9" w14:textId="00DD8A7D" w:rsidR="006E210F" w:rsidRPr="002E77DC" w:rsidRDefault="00895D7A" w:rsidP="00183521">
            <w:pPr>
              <w:pStyle w:val="Sarakstarindkopa"/>
              <w:ind w:left="0"/>
            </w:pPr>
            <w:r w:rsidRPr="00E4599A">
              <w:t>ESF+</w:t>
            </w:r>
            <w:r>
              <w:t xml:space="preserve"> D</w:t>
            </w:r>
            <w:r w:rsidR="00E4599A" w:rsidRPr="00E4599A">
              <w:t xml:space="preserve">ienas aprūpes centra izveide pensijas vecuma personām </w:t>
            </w:r>
            <w:r>
              <w:t>-</w:t>
            </w:r>
            <w:r w:rsidR="00E4599A" w:rsidRPr="00E4599A">
              <w:t xml:space="preserve"> Aizpute</w:t>
            </w:r>
          </w:p>
        </w:tc>
        <w:tc>
          <w:tcPr>
            <w:tcW w:w="1891" w:type="dxa"/>
            <w:vAlign w:val="center"/>
          </w:tcPr>
          <w:p w14:paraId="3CC4B943" w14:textId="6166F613" w:rsidR="006E210F" w:rsidRPr="002E77DC" w:rsidRDefault="00E4599A" w:rsidP="00183521">
            <w:pPr>
              <w:pStyle w:val="Sarakstarindkopa"/>
              <w:spacing w:line="360" w:lineRule="auto"/>
              <w:ind w:left="0"/>
              <w:jc w:val="center"/>
            </w:pPr>
            <w:r w:rsidRPr="00E4599A">
              <w:t>146 626</w:t>
            </w:r>
          </w:p>
        </w:tc>
      </w:tr>
      <w:tr w:rsidR="006E210F" w:rsidRPr="002E77DC" w14:paraId="5046A098" w14:textId="77777777" w:rsidTr="00183521">
        <w:trPr>
          <w:trHeight w:val="596"/>
        </w:trPr>
        <w:tc>
          <w:tcPr>
            <w:tcW w:w="6718" w:type="dxa"/>
          </w:tcPr>
          <w:p w14:paraId="52AB66DB" w14:textId="5A707F7B" w:rsidR="006E210F" w:rsidRPr="00414C3C" w:rsidRDefault="00EA329C" w:rsidP="00183521">
            <w:pPr>
              <w:pStyle w:val="Sarakstarindkopa"/>
              <w:ind w:left="0"/>
            </w:pPr>
            <w:r w:rsidRPr="00EA329C">
              <w:t>Zivju izkraušanas vietas atjaunošana Nīcas pagasta Jūrmalciemā</w:t>
            </w:r>
            <w:r w:rsidR="00895D7A">
              <w:t xml:space="preserve"> </w:t>
            </w:r>
          </w:p>
        </w:tc>
        <w:tc>
          <w:tcPr>
            <w:tcW w:w="1891" w:type="dxa"/>
            <w:vAlign w:val="center"/>
          </w:tcPr>
          <w:p w14:paraId="1495C22B" w14:textId="3CA268BE" w:rsidR="006E210F" w:rsidRPr="002F0786" w:rsidRDefault="00EA329C" w:rsidP="00183521">
            <w:pPr>
              <w:pStyle w:val="Sarakstarindkopa"/>
              <w:spacing w:line="360" w:lineRule="auto"/>
              <w:ind w:left="0"/>
              <w:jc w:val="center"/>
            </w:pPr>
            <w:r w:rsidRPr="00EA329C">
              <w:t>146 218</w:t>
            </w:r>
          </w:p>
        </w:tc>
      </w:tr>
      <w:tr w:rsidR="006E210F" w:rsidRPr="002E77DC" w14:paraId="6030147C" w14:textId="77777777" w:rsidTr="00183521">
        <w:trPr>
          <w:trHeight w:val="596"/>
        </w:trPr>
        <w:tc>
          <w:tcPr>
            <w:tcW w:w="6718" w:type="dxa"/>
          </w:tcPr>
          <w:p w14:paraId="4EE43251" w14:textId="28D77D35" w:rsidR="006E210F" w:rsidRPr="00414C3C" w:rsidRDefault="00482719" w:rsidP="00183521">
            <w:pPr>
              <w:pStyle w:val="Sarakstarindkopa"/>
              <w:ind w:left="0"/>
            </w:pPr>
            <w:r w:rsidRPr="00482719">
              <w:t>Sadarbība starp ugunsdrošības dienestiem, lai stiprinātu katastrofu riska novēršanu un pārvaldību uz Latvijas un Lietuvas robežas</w:t>
            </w:r>
          </w:p>
        </w:tc>
        <w:tc>
          <w:tcPr>
            <w:tcW w:w="1891" w:type="dxa"/>
            <w:vAlign w:val="center"/>
          </w:tcPr>
          <w:p w14:paraId="236B2325" w14:textId="05204E8F" w:rsidR="006E210F" w:rsidRPr="00470F87" w:rsidRDefault="0026706E" w:rsidP="00183521">
            <w:pPr>
              <w:pStyle w:val="Sarakstarindkopa"/>
              <w:spacing w:line="360" w:lineRule="auto"/>
              <w:ind w:left="0"/>
              <w:jc w:val="center"/>
            </w:pPr>
            <w:r w:rsidRPr="0026706E">
              <w:t>120 117</w:t>
            </w:r>
          </w:p>
        </w:tc>
      </w:tr>
      <w:tr w:rsidR="003E33F7" w:rsidRPr="002E77DC" w14:paraId="46E8CDA8" w14:textId="77777777" w:rsidTr="00183521">
        <w:trPr>
          <w:trHeight w:val="596"/>
        </w:trPr>
        <w:tc>
          <w:tcPr>
            <w:tcW w:w="6718" w:type="dxa"/>
          </w:tcPr>
          <w:p w14:paraId="5CB6EF0C" w14:textId="232AEAD3" w:rsidR="003E33F7" w:rsidRPr="003E33F7" w:rsidRDefault="001F70EF" w:rsidP="00183521">
            <w:pPr>
              <w:pStyle w:val="Sarakstarindkopa"/>
              <w:ind w:left="0"/>
            </w:pPr>
            <w:r w:rsidRPr="001F70EF">
              <w:t>Atbalsta pasākumu cilvēkiem ar invaliditāti mājokļu vides pieejamības nodrošināšana DIENVIDKURZEMES novadā</w:t>
            </w:r>
          </w:p>
        </w:tc>
        <w:tc>
          <w:tcPr>
            <w:tcW w:w="1891" w:type="dxa"/>
            <w:vAlign w:val="center"/>
          </w:tcPr>
          <w:p w14:paraId="70FD77C6" w14:textId="2F9B8809" w:rsidR="003E33F7" w:rsidRDefault="00E75A88" w:rsidP="00183521">
            <w:pPr>
              <w:pStyle w:val="Sarakstarindkopa"/>
              <w:spacing w:line="360" w:lineRule="auto"/>
              <w:ind w:left="0"/>
              <w:jc w:val="center"/>
            </w:pPr>
            <w:r w:rsidRPr="00E75A88">
              <w:t>101 403</w:t>
            </w:r>
          </w:p>
        </w:tc>
      </w:tr>
      <w:tr w:rsidR="00E75A88" w:rsidRPr="002E77DC" w14:paraId="799C0DAA" w14:textId="77777777" w:rsidTr="00895D7A">
        <w:trPr>
          <w:trHeight w:val="349"/>
        </w:trPr>
        <w:tc>
          <w:tcPr>
            <w:tcW w:w="6718" w:type="dxa"/>
          </w:tcPr>
          <w:p w14:paraId="25798E44" w14:textId="407F6643" w:rsidR="00E75A88" w:rsidRPr="001F70EF" w:rsidRDefault="003A613E" w:rsidP="00183521">
            <w:pPr>
              <w:pStyle w:val="Sarakstarindkopa"/>
              <w:ind w:left="0"/>
            </w:pPr>
            <w:r w:rsidRPr="003A613E">
              <w:t>Pieejami zaļie dzelzceļi Igaunijā un Latvijā</w:t>
            </w:r>
          </w:p>
        </w:tc>
        <w:tc>
          <w:tcPr>
            <w:tcW w:w="1891" w:type="dxa"/>
            <w:vAlign w:val="center"/>
          </w:tcPr>
          <w:p w14:paraId="43539C32" w14:textId="1F28106C" w:rsidR="00E75A88" w:rsidRPr="00E75A88" w:rsidRDefault="003A613E" w:rsidP="00183521">
            <w:pPr>
              <w:pStyle w:val="Sarakstarindkopa"/>
              <w:spacing w:line="360" w:lineRule="auto"/>
              <w:ind w:left="0"/>
              <w:jc w:val="center"/>
            </w:pPr>
            <w:r w:rsidRPr="003A613E">
              <w:t>101 241</w:t>
            </w:r>
          </w:p>
        </w:tc>
      </w:tr>
    </w:tbl>
    <w:p w14:paraId="2F8ED548" w14:textId="77777777" w:rsidR="006E210F" w:rsidRDefault="006E210F" w:rsidP="006E210F">
      <w:pPr>
        <w:spacing w:line="360" w:lineRule="auto"/>
        <w:ind w:firstLine="851"/>
      </w:pPr>
    </w:p>
    <w:p w14:paraId="1598E4C7" w14:textId="08699EE4" w:rsidR="006E210F" w:rsidRDefault="006E210F" w:rsidP="006E210F">
      <w:pPr>
        <w:spacing w:line="360" w:lineRule="auto"/>
        <w:ind w:firstLine="851"/>
        <w:jc w:val="both"/>
      </w:pPr>
      <w:r>
        <w:t>I</w:t>
      </w:r>
      <w:r w:rsidRPr="002E77DC">
        <w:t>eņēmumi no pašvaldību savstarpējiem norēķiniem par</w:t>
      </w:r>
      <w:r w:rsidR="00B37FB6">
        <w:t xml:space="preserve"> </w:t>
      </w:r>
      <w:r w:rsidRPr="002E77DC">
        <w:t>izglītības</w:t>
      </w:r>
      <w:r w:rsidR="00B37FB6">
        <w:t xml:space="preserve"> </w:t>
      </w:r>
      <w:r w:rsidRPr="002E77DC">
        <w:t xml:space="preserve">iestāžu pakalpojumiem plānoti </w:t>
      </w:r>
      <w:r w:rsidR="00DC78C1">
        <w:t>600</w:t>
      </w:r>
      <w:r w:rsidR="005F5F53">
        <w:t xml:space="preserve"> </w:t>
      </w:r>
      <w:r w:rsidR="00DC78C1">
        <w:t>000</w:t>
      </w:r>
      <w:r w:rsidR="00047459">
        <w:t xml:space="preserve"> </w:t>
      </w:r>
      <w:r w:rsidRPr="002E77DC">
        <w:t>EUR. Savukārt citām pašvaldībām par izglītības iestāžu pakalpojumiem</w:t>
      </w:r>
      <w:r>
        <w:t xml:space="preserve"> </w:t>
      </w:r>
      <w:r w:rsidRPr="002E77DC">
        <w:t xml:space="preserve">plānots pārskaitīt </w:t>
      </w:r>
      <w:r w:rsidRPr="00F479C7">
        <w:t xml:space="preserve">434 </w:t>
      </w:r>
      <w:r w:rsidR="00540F5B">
        <w:t>3</w:t>
      </w:r>
      <w:r w:rsidRPr="00F479C7">
        <w:t>00</w:t>
      </w:r>
      <w:r>
        <w:t xml:space="preserve"> </w:t>
      </w:r>
      <w:r w:rsidRPr="002E77DC">
        <w:t xml:space="preserve">EUR, t.i., </w:t>
      </w:r>
      <w:r w:rsidR="00CA7E5D">
        <w:t>par 12 % mazāk kā samaksāts iepr</w:t>
      </w:r>
      <w:r w:rsidR="00112EE6">
        <w:t>ie</w:t>
      </w:r>
      <w:r w:rsidR="00CA7E5D">
        <w:t xml:space="preserve">kšējā </w:t>
      </w:r>
      <w:r w:rsidR="00112EE6">
        <w:t>gadā</w:t>
      </w:r>
      <w:r w:rsidRPr="002E77DC">
        <w:t>.</w:t>
      </w:r>
    </w:p>
    <w:p w14:paraId="258D73EC" w14:textId="77777777" w:rsidR="006E210F" w:rsidRPr="002E77DC" w:rsidRDefault="006E210F" w:rsidP="006E210F">
      <w:pPr>
        <w:spacing w:line="360" w:lineRule="auto"/>
        <w:jc w:val="both"/>
      </w:pPr>
    </w:p>
    <w:p w14:paraId="3EA4DF1B" w14:textId="77777777" w:rsidR="006E210F" w:rsidRPr="002E77DC" w:rsidRDefault="006E210F" w:rsidP="006E210F">
      <w:pPr>
        <w:spacing w:line="360" w:lineRule="auto"/>
        <w:ind w:firstLine="840"/>
        <w:jc w:val="center"/>
        <w:rPr>
          <w:b/>
        </w:rPr>
      </w:pPr>
      <w:r>
        <w:rPr>
          <w:b/>
        </w:rPr>
        <w:t>Pamatbudžeta i</w:t>
      </w:r>
      <w:r w:rsidRPr="002E77DC">
        <w:rPr>
          <w:b/>
        </w:rPr>
        <w:t>zdevumi</w:t>
      </w:r>
    </w:p>
    <w:p w14:paraId="560FD564" w14:textId="781A4763" w:rsidR="006E210F" w:rsidRPr="002E77DC" w:rsidRDefault="006E210F" w:rsidP="006E210F">
      <w:pPr>
        <w:spacing w:line="360" w:lineRule="auto"/>
        <w:ind w:firstLine="851"/>
        <w:jc w:val="both"/>
      </w:pPr>
      <w:r w:rsidRPr="002E77DC">
        <w:rPr>
          <w:u w:val="single"/>
        </w:rPr>
        <w:t>Pamatbudžeta izdevumu</w:t>
      </w:r>
      <w:r w:rsidRPr="002E77DC">
        <w:t xml:space="preserve"> kopējais apjoms prognozēts </w:t>
      </w:r>
      <w:r w:rsidR="00A7738E" w:rsidRPr="00A7738E">
        <w:rPr>
          <w:bCs/>
          <w:color w:val="000000"/>
          <w:u w:val="single"/>
        </w:rPr>
        <w:t>74 877</w:t>
      </w:r>
      <w:r w:rsidR="00A7738E">
        <w:rPr>
          <w:bCs/>
          <w:color w:val="000000"/>
          <w:u w:val="single"/>
        </w:rPr>
        <w:t> </w:t>
      </w:r>
      <w:r w:rsidR="00A7738E" w:rsidRPr="00A7738E">
        <w:rPr>
          <w:bCs/>
          <w:color w:val="000000"/>
          <w:u w:val="single"/>
        </w:rPr>
        <w:t>628</w:t>
      </w:r>
      <w:r w:rsidR="00A7738E">
        <w:rPr>
          <w:bCs/>
          <w:color w:val="000000"/>
          <w:u w:val="single"/>
        </w:rPr>
        <w:t xml:space="preserve"> </w:t>
      </w:r>
      <w:r w:rsidRPr="00F314BE">
        <w:t>EUR</w:t>
      </w:r>
      <w:r>
        <w:t xml:space="preserve"> apmērā</w:t>
      </w:r>
      <w:r w:rsidR="002C0418">
        <w:rPr>
          <w:u w:val="single"/>
        </w:rPr>
        <w:t>,</w:t>
      </w:r>
      <w:r w:rsidRPr="002E77DC">
        <w:t xml:space="preserve"> t.i., par </w:t>
      </w:r>
      <w:r w:rsidR="003C5707">
        <w:t>16,3</w:t>
      </w:r>
      <w:r w:rsidR="00784B67">
        <w:t> </w:t>
      </w:r>
      <w:r w:rsidRPr="002E77DC">
        <w:t xml:space="preserve">%  </w:t>
      </w:r>
      <w:r>
        <w:t xml:space="preserve">jeb </w:t>
      </w:r>
      <w:r w:rsidR="007D37B1" w:rsidRPr="007D37B1">
        <w:t>10 482</w:t>
      </w:r>
      <w:r w:rsidR="009E66DA">
        <w:t> </w:t>
      </w:r>
      <w:r w:rsidR="007D37B1" w:rsidRPr="007D37B1">
        <w:t>2</w:t>
      </w:r>
      <w:r w:rsidR="007D37B1">
        <w:t>48</w:t>
      </w:r>
      <w:r w:rsidR="009E66DA">
        <w:t xml:space="preserve"> </w:t>
      </w:r>
      <w:r>
        <w:t>E</w:t>
      </w:r>
      <w:r w:rsidRPr="002E77DC">
        <w:t xml:space="preserve">UR </w:t>
      </w:r>
      <w:r w:rsidR="009E66DA">
        <w:t>vairāk</w:t>
      </w:r>
      <w:r w:rsidRPr="002E77DC">
        <w:t xml:space="preserve"> kā iepriekšējā gada </w:t>
      </w:r>
      <w:r>
        <w:t xml:space="preserve">izpilde. </w:t>
      </w:r>
    </w:p>
    <w:p w14:paraId="387A3B37" w14:textId="740B8F7F" w:rsidR="006E210F" w:rsidRDefault="006E210F" w:rsidP="006E210F">
      <w:pPr>
        <w:spacing w:line="360" w:lineRule="auto"/>
        <w:ind w:firstLine="840"/>
        <w:jc w:val="both"/>
      </w:pPr>
      <w:r>
        <w:t xml:space="preserve">Dienvidkurzemes  </w:t>
      </w:r>
      <w:r w:rsidRPr="0058371D">
        <w:t xml:space="preserve">pašvaldības pamatbudžeta ieņēmumi tiek novirzīti pašvaldības </w:t>
      </w:r>
      <w:r>
        <w:t>autonomo funkciju izpildes nodrošināšanai, t.i.,</w:t>
      </w:r>
      <w:r w:rsidR="001A2FA0">
        <w:t xml:space="preserve"> </w:t>
      </w:r>
      <w:r w:rsidRPr="0058371D">
        <w:t>izdevumiem no budžeta finansētu institūciju, t.sk. pašvaldības</w:t>
      </w:r>
      <w:r>
        <w:t>,</w:t>
      </w:r>
      <w:r w:rsidRPr="0058371D">
        <w:t xml:space="preserve"> izglītības, kultūras, sporta iestāžu, sociāl</w:t>
      </w:r>
      <w:r>
        <w:t>o</w:t>
      </w:r>
      <w:r w:rsidRPr="0058371D">
        <w:t xml:space="preserve"> dienestu uzturēšanai, </w:t>
      </w:r>
      <w:r>
        <w:t xml:space="preserve">vides aizsardzības </w:t>
      </w:r>
      <w:r w:rsidRPr="0058371D">
        <w:t xml:space="preserve">pasākumu finansēšanai, </w:t>
      </w:r>
      <w:r>
        <w:t xml:space="preserve">pašvaldības </w:t>
      </w:r>
      <w:r w:rsidRPr="0058371D">
        <w:t xml:space="preserve">infrastruktūras uzturēšanai, samaksai par pakalpojumiem </w:t>
      </w:r>
      <w:r>
        <w:t>pašvaldības</w:t>
      </w:r>
      <w:r w:rsidRPr="0058371D">
        <w:t xml:space="preserve"> vajadzībām, </w:t>
      </w:r>
      <w:r>
        <w:t>piem.,</w:t>
      </w:r>
      <w:r w:rsidRPr="0058371D">
        <w:t xml:space="preserve"> pašvaldības funkciju izpildei sociālajā un izglītības jomā, sabiedriskajām organizācijām un privātajam sektoram, pabalstiem </w:t>
      </w:r>
      <w:r>
        <w:t xml:space="preserve">trūcīgiem un </w:t>
      </w:r>
      <w:r w:rsidRPr="0058371D">
        <w:t>maznodrošinātajiem iedzīvotājiem, investīciju projektu finansēšanai, līdzfinansējum</w:t>
      </w:r>
      <w:r>
        <w:t>iem</w:t>
      </w:r>
      <w:r w:rsidRPr="0058371D">
        <w:t xml:space="preserve"> </w:t>
      </w:r>
      <w:r>
        <w:t>ES</w:t>
      </w:r>
      <w:r w:rsidRPr="0058371D">
        <w:t xml:space="preserve"> fondu projektu apguvei</w:t>
      </w:r>
      <w:r>
        <w:t xml:space="preserve">. </w:t>
      </w:r>
    </w:p>
    <w:p w14:paraId="443E774F" w14:textId="1AF497E8" w:rsidR="006E210F" w:rsidRPr="002E77DC" w:rsidRDefault="006E210F" w:rsidP="006E210F">
      <w:pPr>
        <w:spacing w:line="360" w:lineRule="auto"/>
        <w:ind w:firstLine="840"/>
        <w:jc w:val="both"/>
      </w:pPr>
      <w:r w:rsidRPr="002E77DC">
        <w:t>Vislielākais izdevumu apjoms</w:t>
      </w:r>
      <w:r w:rsidR="001A2FA0">
        <w:t xml:space="preserve"> </w:t>
      </w:r>
      <w:r w:rsidRPr="002E77DC">
        <w:t>202</w:t>
      </w:r>
      <w:r w:rsidR="009E66DA">
        <w:t>6</w:t>
      </w:r>
      <w:r w:rsidRPr="002E77DC">
        <w:t>.</w:t>
      </w:r>
      <w:r w:rsidR="001A2FA0">
        <w:t xml:space="preserve"> </w:t>
      </w:r>
      <w:r w:rsidRPr="002E77DC">
        <w:t xml:space="preserve">gada novada budžetā plānots </w:t>
      </w:r>
      <w:r>
        <w:t xml:space="preserve">izglītības nozarei – </w:t>
      </w:r>
      <w:r w:rsidR="00D40361" w:rsidRPr="00D40361">
        <w:t>34 737</w:t>
      </w:r>
      <w:r w:rsidR="00D40361">
        <w:t> </w:t>
      </w:r>
      <w:r w:rsidR="00D40361" w:rsidRPr="00D40361">
        <w:t>441</w:t>
      </w:r>
      <w:r w:rsidR="00D40361">
        <w:t xml:space="preserve"> </w:t>
      </w:r>
      <w:r w:rsidRPr="002E77DC">
        <w:t>EUR, kas sastāda 4</w:t>
      </w:r>
      <w:r w:rsidR="00E470C4">
        <w:t>6</w:t>
      </w:r>
      <w:r w:rsidR="00D91D3B">
        <w:t> </w:t>
      </w:r>
      <w:r w:rsidRPr="002E77DC">
        <w:t>% no pamatbudžeta kopējiem izdevumiem</w:t>
      </w:r>
      <w:r w:rsidR="00642CE5">
        <w:t>, un izdevumu pieaugums pret iepriekšēj</w:t>
      </w:r>
      <w:r w:rsidR="007B196E">
        <w:t>ā gada izpildi 11</w:t>
      </w:r>
      <w:r w:rsidR="008E4159">
        <w:t>%</w:t>
      </w:r>
      <w:r w:rsidRPr="002E77DC">
        <w:t xml:space="preserve">. </w:t>
      </w:r>
      <w:r>
        <w:t>Izdevumi plānoti novada izglītības iestāžu darbības nodrošināšanai, izglītības papildus pakalpojumiem</w:t>
      </w:r>
      <w:r w:rsidR="001A2FA0">
        <w:t xml:space="preserve"> </w:t>
      </w:r>
      <w:r>
        <w:t>kā</w:t>
      </w:r>
      <w:r w:rsidR="001A2FA0">
        <w:t xml:space="preserve"> </w:t>
      </w:r>
      <w:r>
        <w:lastRenderedPageBreak/>
        <w:t>ēdināšanai un skolēnu pārvadājumu nodrošināšanai,</w:t>
      </w:r>
      <w:r w:rsidRPr="00F60B1C">
        <w:t xml:space="preserve"> </w:t>
      </w:r>
      <w:r>
        <w:t xml:space="preserve">auklēm, asistentiem, kā arī remontdarbiem un investīcijām izglītības iestādēs. </w:t>
      </w:r>
    </w:p>
    <w:p w14:paraId="2B73F2BC" w14:textId="5E78031C" w:rsidR="006E210F" w:rsidRPr="0068311E" w:rsidRDefault="006E210F" w:rsidP="006E210F">
      <w:pPr>
        <w:spacing w:line="360" w:lineRule="auto"/>
        <w:ind w:firstLine="840"/>
        <w:jc w:val="both"/>
      </w:pPr>
      <w:r w:rsidRPr="002E77DC">
        <w:t xml:space="preserve">Sabiedriskās kārtības uzturēšanas izdevumi tiek plānoti </w:t>
      </w:r>
      <w:r w:rsidR="00ED54D4" w:rsidRPr="00ED54D4">
        <w:t>1 364</w:t>
      </w:r>
      <w:r w:rsidR="00ED54D4">
        <w:t> </w:t>
      </w:r>
      <w:r w:rsidR="00ED54D4" w:rsidRPr="00ED54D4">
        <w:t>857</w:t>
      </w:r>
      <w:r w:rsidR="00ED54D4">
        <w:t xml:space="preserve"> </w:t>
      </w:r>
      <w:r w:rsidRPr="002E77DC">
        <w:t>EUR apmērā, kas sastāda 1,</w:t>
      </w:r>
      <w:r w:rsidR="00ED54D4">
        <w:t>8</w:t>
      </w:r>
      <w:r w:rsidRPr="002E77DC">
        <w:t>% no kopējiem izdevumiem</w:t>
      </w:r>
      <w:r>
        <w:t xml:space="preserve">, un tie palielināti par </w:t>
      </w:r>
      <w:r w:rsidR="00ED54D4">
        <w:t>7</w:t>
      </w:r>
      <w:r>
        <w:t>% salīdzinot ar iepriekšējā gada izpildi</w:t>
      </w:r>
      <w:r w:rsidRPr="002E77DC">
        <w:t xml:space="preserve">. </w:t>
      </w:r>
      <w:r>
        <w:t>Tajos ietverti novada kopējie pašvaldības policijas uzturēšanas izdevumi</w:t>
      </w:r>
      <w:r w:rsidR="00275118">
        <w:t xml:space="preserve"> </w:t>
      </w:r>
      <w:r w:rsidRPr="00E37374">
        <w:t>8</w:t>
      </w:r>
      <w:r w:rsidR="003A1A96">
        <w:t>64</w:t>
      </w:r>
      <w:r>
        <w:t> </w:t>
      </w:r>
      <w:r w:rsidR="003A1A96">
        <w:t>814</w:t>
      </w:r>
      <w:r>
        <w:t xml:space="preserve"> EUR apjomā,  ugunsdzēsības un glābšanas dienesta izdevumi </w:t>
      </w:r>
      <w:r w:rsidR="00566365">
        <w:t>301</w:t>
      </w:r>
      <w:r>
        <w:t> </w:t>
      </w:r>
      <w:r w:rsidR="00566365">
        <w:t>050</w:t>
      </w:r>
      <w:r>
        <w:t xml:space="preserve"> EUR apmērā, kā arī ES LAT-LIT, ERAF līdzfinansēt</w:t>
      </w:r>
      <w:r w:rsidR="00CE7258">
        <w:t>s</w:t>
      </w:r>
      <w:r>
        <w:t xml:space="preserve"> projekts “</w:t>
      </w:r>
      <w:r w:rsidRPr="002703B6">
        <w:t>Sadarbība starp ugunsdrošības dienestiem, lai stiprinātu katastrofu riska novēršanu un pārvaldību uz Latvijas un Lietuvas robežas</w:t>
      </w:r>
      <w:r>
        <w:t>”</w:t>
      </w:r>
      <w:r w:rsidR="00CE7258">
        <w:t xml:space="preserve"> </w:t>
      </w:r>
      <w:r>
        <w:t xml:space="preserve">- </w:t>
      </w:r>
      <w:r w:rsidRPr="00E37374">
        <w:t>1</w:t>
      </w:r>
      <w:r w:rsidR="00566365">
        <w:t>75</w:t>
      </w:r>
      <w:r>
        <w:t> </w:t>
      </w:r>
      <w:r w:rsidR="00943EAF">
        <w:t>503</w:t>
      </w:r>
      <w:r>
        <w:t xml:space="preserve"> EUR apmērā</w:t>
      </w:r>
      <w:r w:rsidR="00F627E9">
        <w:t>,</w:t>
      </w:r>
      <w:r w:rsidR="00943EAF">
        <w:t xml:space="preserve"> un</w:t>
      </w:r>
      <w:r w:rsidR="00CE7258">
        <w:t xml:space="preserve"> </w:t>
      </w:r>
      <w:r w:rsidR="00460625">
        <w:t>ERAF</w:t>
      </w:r>
      <w:r w:rsidR="00943EAF">
        <w:t xml:space="preserve"> </w:t>
      </w:r>
      <w:r w:rsidR="006D6069">
        <w:t>projekts “</w:t>
      </w:r>
      <w:r w:rsidR="006D6069" w:rsidRPr="006D6069">
        <w:t>Prioritāri noteikto patvertņu pielāgošana un aprīkošana</w:t>
      </w:r>
      <w:r w:rsidR="006D6069">
        <w:t>”</w:t>
      </w:r>
      <w:r w:rsidR="00CA2DBC">
        <w:t xml:space="preserve"> – </w:t>
      </w:r>
      <w:r w:rsidR="00460625" w:rsidRPr="00460625">
        <w:t>23 490</w:t>
      </w:r>
      <w:r w:rsidR="00CA2DBC">
        <w:t xml:space="preserve"> EUR</w:t>
      </w:r>
      <w:r w:rsidR="003972A0">
        <w:t>.</w:t>
      </w:r>
    </w:p>
    <w:p w14:paraId="1A33D264" w14:textId="670792CC" w:rsidR="006E210F" w:rsidRDefault="006E210F" w:rsidP="006E210F">
      <w:pPr>
        <w:spacing w:line="360" w:lineRule="auto"/>
        <w:ind w:firstLine="851"/>
        <w:jc w:val="both"/>
      </w:pPr>
      <w:r w:rsidRPr="003F384C">
        <w:t>Vispārējiem valdības dienestiem izdevumi 202</w:t>
      </w:r>
      <w:r w:rsidR="003972A0">
        <w:t>6</w:t>
      </w:r>
      <w:r w:rsidRPr="003F384C">
        <w:t xml:space="preserve">. gadā plānoti </w:t>
      </w:r>
      <w:r w:rsidR="006E70E2" w:rsidRPr="006E70E2">
        <w:t>6 0</w:t>
      </w:r>
      <w:r w:rsidR="0034129D">
        <w:t>28</w:t>
      </w:r>
      <w:r w:rsidR="006E70E2">
        <w:t> </w:t>
      </w:r>
      <w:r w:rsidR="00B0468D">
        <w:t>027</w:t>
      </w:r>
      <w:r w:rsidR="006E70E2">
        <w:t xml:space="preserve"> </w:t>
      </w:r>
      <w:r>
        <w:t>EUR</w:t>
      </w:r>
      <w:r w:rsidRPr="003F384C">
        <w:t xml:space="preserve"> apmērā, </w:t>
      </w:r>
      <w:r>
        <w:t xml:space="preserve">t.i., </w:t>
      </w:r>
      <w:r w:rsidR="00275118">
        <w:t xml:space="preserve">par </w:t>
      </w:r>
      <w:r w:rsidR="00B0468D">
        <w:t>9</w:t>
      </w:r>
      <w:r>
        <w:t xml:space="preserve"> % </w:t>
      </w:r>
      <w:r w:rsidR="00B0468D">
        <w:t>vairāk</w:t>
      </w:r>
      <w:r>
        <w:t xml:space="preserve"> salīdzinot ar iepriekšējā gada izpildi.</w:t>
      </w:r>
    </w:p>
    <w:p w14:paraId="511B13BA" w14:textId="71B1395C" w:rsidR="006E210F" w:rsidRDefault="006E210F" w:rsidP="006E210F">
      <w:pPr>
        <w:spacing w:line="360" w:lineRule="auto"/>
        <w:ind w:firstLine="840"/>
        <w:jc w:val="both"/>
      </w:pPr>
      <w:r w:rsidRPr="002E77DC">
        <w:t>Ekonomisk</w:t>
      </w:r>
      <w:r w:rsidR="00460625">
        <w:t xml:space="preserve">ās </w:t>
      </w:r>
      <w:r w:rsidRPr="002E77DC">
        <w:t>darbība</w:t>
      </w:r>
      <w:r>
        <w:t>s nozarēm</w:t>
      </w:r>
      <w:r w:rsidRPr="002E77DC">
        <w:t xml:space="preserve"> paredzēts izlietot </w:t>
      </w:r>
      <w:r w:rsidR="00A56929" w:rsidRPr="00A56929">
        <w:t>6 199</w:t>
      </w:r>
      <w:r w:rsidR="00A56929">
        <w:t> </w:t>
      </w:r>
      <w:r w:rsidR="00A56929" w:rsidRPr="00A56929">
        <w:t>595</w:t>
      </w:r>
      <w:r w:rsidR="00A56929">
        <w:t xml:space="preserve"> </w:t>
      </w:r>
      <w:r w:rsidRPr="002E77DC">
        <w:t xml:space="preserve">EUR jeb </w:t>
      </w:r>
      <w:r w:rsidR="00EC0E3F">
        <w:t>8,3</w:t>
      </w:r>
      <w:r w:rsidRPr="002E77DC">
        <w:t>% no pamatbudžeta</w:t>
      </w:r>
      <w:r>
        <w:t xml:space="preserve"> kopējiem izdevumiem</w:t>
      </w:r>
      <w:r w:rsidRPr="002E77DC">
        <w:t xml:space="preserve">, t.i., par </w:t>
      </w:r>
      <w:r w:rsidR="00557085">
        <w:t>32</w:t>
      </w:r>
      <w:r w:rsidR="008315C6">
        <w:t> </w:t>
      </w:r>
      <w:r w:rsidRPr="002E77DC">
        <w:t xml:space="preserve">% </w:t>
      </w:r>
      <w:r>
        <w:t xml:space="preserve">vairāk </w:t>
      </w:r>
      <w:r w:rsidRPr="002E77DC">
        <w:t xml:space="preserve">kā iepriekšējā gadā izlietots. Sadaļas lielākā summa </w:t>
      </w:r>
      <w:r w:rsidR="007F3328" w:rsidRPr="007F3328">
        <w:t>2 661</w:t>
      </w:r>
      <w:r w:rsidR="007F3328">
        <w:t> </w:t>
      </w:r>
      <w:r w:rsidR="007F3328" w:rsidRPr="007F3328">
        <w:t>155</w:t>
      </w:r>
      <w:r w:rsidR="007F3328">
        <w:t xml:space="preserve"> </w:t>
      </w:r>
      <w:r w:rsidRPr="002E77DC">
        <w:t>EUR paredzēta transporta infrastruktūras</w:t>
      </w:r>
      <w:r>
        <w:t xml:space="preserve"> uzturēšanai un </w:t>
      </w:r>
      <w:r w:rsidRPr="002E77DC">
        <w:t>sakārtošanai</w:t>
      </w:r>
      <w:r>
        <w:t xml:space="preserve">, kas ir </w:t>
      </w:r>
      <w:r w:rsidR="007F3328">
        <w:t>7</w:t>
      </w:r>
      <w:r>
        <w:t xml:space="preserve"> % </w:t>
      </w:r>
      <w:r w:rsidR="007F3328">
        <w:t xml:space="preserve">vairāk </w:t>
      </w:r>
      <w:r>
        <w:t>kā iepriekšējā gad</w:t>
      </w:r>
      <w:r w:rsidR="000B44F3">
        <w:t>ā</w:t>
      </w:r>
      <w:r>
        <w:t xml:space="preserve"> izlietots. Valsts mērķdotācijas izdevumu apjoms autoceļu uzturēšanai plānots </w:t>
      </w:r>
      <w:r w:rsidRPr="00E37374">
        <w:t>1 9</w:t>
      </w:r>
      <w:r w:rsidR="006B64DA">
        <w:t>12</w:t>
      </w:r>
      <w:r>
        <w:t> </w:t>
      </w:r>
      <w:r w:rsidR="006B64DA">
        <w:t>820</w:t>
      </w:r>
      <w:r>
        <w:t xml:space="preserve"> EUR apmērā. </w:t>
      </w:r>
    </w:p>
    <w:tbl>
      <w:tblPr>
        <w:tblStyle w:val="Reatabula"/>
        <w:tblW w:w="9351" w:type="dxa"/>
        <w:tblLayout w:type="fixed"/>
        <w:tblLook w:val="04A0" w:firstRow="1" w:lastRow="0" w:firstColumn="1" w:lastColumn="0" w:noHBand="0" w:noVBand="1"/>
      </w:tblPr>
      <w:tblGrid>
        <w:gridCol w:w="3397"/>
        <w:gridCol w:w="1843"/>
        <w:gridCol w:w="1985"/>
        <w:gridCol w:w="2126"/>
      </w:tblGrid>
      <w:tr w:rsidR="006E210F" w:rsidRPr="002E77DC" w14:paraId="3502EE59" w14:textId="77777777" w:rsidTr="00183521">
        <w:trPr>
          <w:trHeight w:val="943"/>
        </w:trPr>
        <w:tc>
          <w:tcPr>
            <w:tcW w:w="3397" w:type="dxa"/>
            <w:vAlign w:val="center"/>
          </w:tcPr>
          <w:p w14:paraId="16D0B8C4" w14:textId="77777777" w:rsidR="006E210F" w:rsidRPr="002E77DC" w:rsidRDefault="006E210F" w:rsidP="00183521">
            <w:pPr>
              <w:spacing w:line="360" w:lineRule="auto"/>
              <w:jc w:val="center"/>
              <w:outlineLvl w:val="0"/>
            </w:pPr>
            <w:r w:rsidRPr="002E77DC">
              <w:t>Ekonomiskās darbības sadaļa</w:t>
            </w:r>
          </w:p>
        </w:tc>
        <w:tc>
          <w:tcPr>
            <w:tcW w:w="1843" w:type="dxa"/>
            <w:vAlign w:val="center"/>
          </w:tcPr>
          <w:p w14:paraId="604CE3C9" w14:textId="696EA050" w:rsidR="006E210F" w:rsidRPr="002E77DC" w:rsidRDefault="006E210F" w:rsidP="00183521">
            <w:pPr>
              <w:autoSpaceDE w:val="0"/>
              <w:autoSpaceDN w:val="0"/>
              <w:adjustRightInd w:val="0"/>
              <w:spacing w:after="120"/>
              <w:jc w:val="center"/>
              <w:rPr>
                <w:rFonts w:eastAsia="Calibri"/>
              </w:rPr>
            </w:pPr>
            <w:r w:rsidRPr="002E77DC">
              <w:rPr>
                <w:rFonts w:eastAsia="Calibri"/>
              </w:rPr>
              <w:t>202</w:t>
            </w:r>
            <w:r w:rsidR="00F704AB">
              <w:rPr>
                <w:rFonts w:eastAsia="Calibri"/>
              </w:rPr>
              <w:t>5</w:t>
            </w:r>
            <w:r w:rsidRPr="002E77DC">
              <w:rPr>
                <w:rFonts w:eastAsia="Calibri"/>
              </w:rPr>
              <w:t>.gada izpilde</w:t>
            </w:r>
            <w:r>
              <w:rPr>
                <w:rFonts w:eastAsia="Calibri"/>
              </w:rPr>
              <w:t xml:space="preserve"> EUR</w:t>
            </w:r>
          </w:p>
        </w:tc>
        <w:tc>
          <w:tcPr>
            <w:tcW w:w="1985" w:type="dxa"/>
            <w:vAlign w:val="center"/>
          </w:tcPr>
          <w:p w14:paraId="00CB72C9" w14:textId="794D928F" w:rsidR="006E210F" w:rsidRPr="002E77DC" w:rsidRDefault="006E210F" w:rsidP="00183521">
            <w:pPr>
              <w:autoSpaceDE w:val="0"/>
              <w:autoSpaceDN w:val="0"/>
              <w:adjustRightInd w:val="0"/>
              <w:spacing w:after="120"/>
              <w:jc w:val="center"/>
              <w:rPr>
                <w:rFonts w:eastAsia="Calibri"/>
              </w:rPr>
            </w:pPr>
            <w:r w:rsidRPr="002E77DC">
              <w:rPr>
                <w:rFonts w:eastAsia="Calibri"/>
              </w:rPr>
              <w:t>202</w:t>
            </w:r>
            <w:r w:rsidR="00F704AB">
              <w:rPr>
                <w:rFonts w:eastAsia="Calibri"/>
              </w:rPr>
              <w:t>6</w:t>
            </w:r>
            <w:r w:rsidRPr="002E77DC">
              <w:rPr>
                <w:rFonts w:eastAsia="Calibri"/>
              </w:rPr>
              <w:t>gada budžeta prognoze</w:t>
            </w:r>
            <w:r>
              <w:rPr>
                <w:rFonts w:eastAsia="Calibri"/>
              </w:rPr>
              <w:t xml:space="preserve"> EUR</w:t>
            </w:r>
          </w:p>
        </w:tc>
        <w:tc>
          <w:tcPr>
            <w:tcW w:w="2126" w:type="dxa"/>
            <w:vAlign w:val="center"/>
          </w:tcPr>
          <w:p w14:paraId="17FF378E" w14:textId="77777777" w:rsidR="006E210F" w:rsidRPr="002E77DC" w:rsidRDefault="006E210F" w:rsidP="00183521">
            <w:pPr>
              <w:jc w:val="center"/>
            </w:pPr>
            <w:r w:rsidRPr="002E77DC">
              <w:t>Salīdzinājums</w:t>
            </w:r>
          </w:p>
        </w:tc>
      </w:tr>
      <w:tr w:rsidR="00F704AB" w:rsidRPr="002E77DC" w14:paraId="0DD684A7" w14:textId="77777777" w:rsidTr="00183521">
        <w:trPr>
          <w:trHeight w:val="445"/>
        </w:trPr>
        <w:tc>
          <w:tcPr>
            <w:tcW w:w="3397" w:type="dxa"/>
            <w:vAlign w:val="center"/>
          </w:tcPr>
          <w:p w14:paraId="4C7E8E4E" w14:textId="77777777" w:rsidR="00F704AB" w:rsidRPr="002E77DC" w:rsidRDefault="00F704AB" w:rsidP="00F704AB">
            <w:pPr>
              <w:jc w:val="right"/>
            </w:pPr>
            <w:r w:rsidRPr="002E77DC">
              <w:t>Kopā:</w:t>
            </w:r>
          </w:p>
        </w:tc>
        <w:tc>
          <w:tcPr>
            <w:tcW w:w="1843" w:type="dxa"/>
          </w:tcPr>
          <w:p w14:paraId="2E2630D9" w14:textId="574FE40E" w:rsidR="00F704AB" w:rsidRPr="00062783" w:rsidRDefault="00F704AB" w:rsidP="00F704AB">
            <w:pPr>
              <w:jc w:val="center"/>
            </w:pPr>
            <w:r w:rsidRPr="00F93F93">
              <w:t>4 693 713</w:t>
            </w:r>
          </w:p>
        </w:tc>
        <w:tc>
          <w:tcPr>
            <w:tcW w:w="1985" w:type="dxa"/>
          </w:tcPr>
          <w:p w14:paraId="0A2CC336" w14:textId="507AD706" w:rsidR="00F704AB" w:rsidRPr="00062783" w:rsidRDefault="00F704AB" w:rsidP="00F704AB">
            <w:pPr>
              <w:jc w:val="center"/>
            </w:pPr>
            <w:r w:rsidRPr="00F93F93">
              <w:t>6 199 595</w:t>
            </w:r>
          </w:p>
        </w:tc>
        <w:tc>
          <w:tcPr>
            <w:tcW w:w="2126" w:type="dxa"/>
          </w:tcPr>
          <w:p w14:paraId="7249A1F1" w14:textId="42B1AC63" w:rsidR="00F704AB" w:rsidRPr="00062783" w:rsidRDefault="00F704AB" w:rsidP="00F704AB">
            <w:pPr>
              <w:jc w:val="center"/>
            </w:pPr>
            <w:r w:rsidRPr="00F93F93">
              <w:t>32%</w:t>
            </w:r>
          </w:p>
        </w:tc>
      </w:tr>
      <w:tr w:rsidR="00265243" w:rsidRPr="002E77DC" w14:paraId="6592B00F" w14:textId="77777777" w:rsidTr="0078304A">
        <w:trPr>
          <w:trHeight w:val="332"/>
        </w:trPr>
        <w:tc>
          <w:tcPr>
            <w:tcW w:w="3397" w:type="dxa"/>
            <w:vAlign w:val="bottom"/>
          </w:tcPr>
          <w:p w14:paraId="79ABB5EF" w14:textId="77777777" w:rsidR="00265243" w:rsidRPr="002E77DC" w:rsidRDefault="00265243" w:rsidP="00265243">
            <w:pPr>
              <w:jc w:val="right"/>
              <w:rPr>
                <w:color w:val="000000"/>
                <w:sz w:val="20"/>
                <w:szCs w:val="20"/>
              </w:rPr>
            </w:pPr>
            <w:r>
              <w:rPr>
                <w:color w:val="000000"/>
                <w:sz w:val="20"/>
                <w:szCs w:val="20"/>
              </w:rPr>
              <w:t>Nodarbinātības pasākumi</w:t>
            </w:r>
          </w:p>
        </w:tc>
        <w:tc>
          <w:tcPr>
            <w:tcW w:w="1843" w:type="dxa"/>
          </w:tcPr>
          <w:p w14:paraId="4B6F85AA" w14:textId="5B4F17CB" w:rsidR="00265243" w:rsidRPr="00A910E9" w:rsidRDefault="00265243" w:rsidP="00265243">
            <w:pPr>
              <w:jc w:val="right"/>
              <w:rPr>
                <w:sz w:val="20"/>
                <w:szCs w:val="20"/>
              </w:rPr>
            </w:pPr>
            <w:r w:rsidRPr="00A910E9">
              <w:rPr>
                <w:sz w:val="20"/>
                <w:szCs w:val="20"/>
              </w:rPr>
              <w:t>226 037</w:t>
            </w:r>
          </w:p>
        </w:tc>
        <w:tc>
          <w:tcPr>
            <w:tcW w:w="1985" w:type="dxa"/>
          </w:tcPr>
          <w:p w14:paraId="10679DB5" w14:textId="26D6AD84" w:rsidR="00265243" w:rsidRPr="00A910E9" w:rsidRDefault="00265243" w:rsidP="00265243">
            <w:pPr>
              <w:jc w:val="right"/>
              <w:rPr>
                <w:sz w:val="20"/>
                <w:szCs w:val="20"/>
              </w:rPr>
            </w:pPr>
            <w:r w:rsidRPr="00A910E9">
              <w:rPr>
                <w:sz w:val="20"/>
                <w:szCs w:val="20"/>
              </w:rPr>
              <w:t>273 289</w:t>
            </w:r>
          </w:p>
        </w:tc>
        <w:tc>
          <w:tcPr>
            <w:tcW w:w="2126" w:type="dxa"/>
          </w:tcPr>
          <w:p w14:paraId="7219DF26" w14:textId="5A7DCE96" w:rsidR="00265243" w:rsidRPr="00A910E9" w:rsidRDefault="00265243" w:rsidP="00265243">
            <w:pPr>
              <w:jc w:val="right"/>
              <w:rPr>
                <w:sz w:val="20"/>
                <w:szCs w:val="20"/>
              </w:rPr>
            </w:pPr>
            <w:r w:rsidRPr="00A910E9">
              <w:rPr>
                <w:sz w:val="20"/>
                <w:szCs w:val="20"/>
              </w:rPr>
              <w:t>21%</w:t>
            </w:r>
          </w:p>
        </w:tc>
      </w:tr>
      <w:tr w:rsidR="00265243" w:rsidRPr="002E77DC" w14:paraId="08BA9767" w14:textId="77777777" w:rsidTr="0078304A">
        <w:trPr>
          <w:trHeight w:val="332"/>
        </w:trPr>
        <w:tc>
          <w:tcPr>
            <w:tcW w:w="3397" w:type="dxa"/>
            <w:vAlign w:val="bottom"/>
          </w:tcPr>
          <w:p w14:paraId="47792802" w14:textId="77777777" w:rsidR="00265243" w:rsidRPr="002E77DC" w:rsidRDefault="00265243" w:rsidP="00265243">
            <w:pPr>
              <w:jc w:val="right"/>
              <w:rPr>
                <w:color w:val="000000"/>
                <w:sz w:val="20"/>
                <w:szCs w:val="20"/>
              </w:rPr>
            </w:pPr>
            <w:r w:rsidRPr="002E77DC">
              <w:rPr>
                <w:color w:val="000000"/>
                <w:sz w:val="20"/>
                <w:szCs w:val="20"/>
              </w:rPr>
              <w:t xml:space="preserve">Būvvalde </w:t>
            </w:r>
          </w:p>
        </w:tc>
        <w:tc>
          <w:tcPr>
            <w:tcW w:w="1843" w:type="dxa"/>
          </w:tcPr>
          <w:p w14:paraId="0E00B889" w14:textId="548EB8B3" w:rsidR="00265243" w:rsidRPr="00A910E9" w:rsidRDefault="00265243" w:rsidP="00265243">
            <w:pPr>
              <w:jc w:val="right"/>
              <w:rPr>
                <w:sz w:val="20"/>
                <w:szCs w:val="20"/>
              </w:rPr>
            </w:pPr>
            <w:r w:rsidRPr="00A910E9">
              <w:rPr>
                <w:sz w:val="20"/>
                <w:szCs w:val="20"/>
              </w:rPr>
              <w:t>515 839</w:t>
            </w:r>
          </w:p>
        </w:tc>
        <w:tc>
          <w:tcPr>
            <w:tcW w:w="1985" w:type="dxa"/>
          </w:tcPr>
          <w:p w14:paraId="4CB41126" w14:textId="649EBA7C" w:rsidR="00265243" w:rsidRPr="00A910E9" w:rsidRDefault="00265243" w:rsidP="00265243">
            <w:pPr>
              <w:jc w:val="right"/>
              <w:rPr>
                <w:sz w:val="20"/>
                <w:szCs w:val="20"/>
              </w:rPr>
            </w:pPr>
            <w:r w:rsidRPr="00A910E9">
              <w:rPr>
                <w:sz w:val="20"/>
                <w:szCs w:val="20"/>
              </w:rPr>
              <w:t>849 936</w:t>
            </w:r>
          </w:p>
        </w:tc>
        <w:tc>
          <w:tcPr>
            <w:tcW w:w="2126" w:type="dxa"/>
          </w:tcPr>
          <w:p w14:paraId="3302AD2E" w14:textId="18443199" w:rsidR="00265243" w:rsidRPr="00A910E9" w:rsidRDefault="00265243" w:rsidP="00265243">
            <w:pPr>
              <w:jc w:val="right"/>
              <w:rPr>
                <w:sz w:val="20"/>
                <w:szCs w:val="20"/>
              </w:rPr>
            </w:pPr>
            <w:r w:rsidRPr="00A910E9">
              <w:rPr>
                <w:sz w:val="20"/>
                <w:szCs w:val="20"/>
              </w:rPr>
              <w:t>65%</w:t>
            </w:r>
          </w:p>
        </w:tc>
      </w:tr>
      <w:tr w:rsidR="00265243" w:rsidRPr="002E77DC" w14:paraId="25B5B29F" w14:textId="77777777" w:rsidTr="0078304A">
        <w:trPr>
          <w:trHeight w:val="332"/>
        </w:trPr>
        <w:tc>
          <w:tcPr>
            <w:tcW w:w="3397" w:type="dxa"/>
            <w:vAlign w:val="bottom"/>
          </w:tcPr>
          <w:p w14:paraId="794F0E26" w14:textId="77777777" w:rsidR="00265243" w:rsidRPr="002E77DC" w:rsidRDefault="00265243" w:rsidP="00265243">
            <w:pPr>
              <w:jc w:val="right"/>
              <w:rPr>
                <w:color w:val="000000"/>
                <w:sz w:val="20"/>
                <w:szCs w:val="20"/>
              </w:rPr>
            </w:pPr>
            <w:r>
              <w:rPr>
                <w:color w:val="000000"/>
                <w:sz w:val="20"/>
                <w:szCs w:val="20"/>
              </w:rPr>
              <w:t>T</w:t>
            </w:r>
            <w:r w:rsidRPr="002E77DC">
              <w:rPr>
                <w:color w:val="000000"/>
                <w:sz w:val="20"/>
                <w:szCs w:val="20"/>
              </w:rPr>
              <w:t>ransports</w:t>
            </w:r>
          </w:p>
        </w:tc>
        <w:tc>
          <w:tcPr>
            <w:tcW w:w="1843" w:type="dxa"/>
          </w:tcPr>
          <w:p w14:paraId="68DECFCC" w14:textId="34E04FA8" w:rsidR="00265243" w:rsidRPr="00A910E9" w:rsidRDefault="00265243" w:rsidP="00265243">
            <w:pPr>
              <w:jc w:val="right"/>
              <w:rPr>
                <w:sz w:val="20"/>
                <w:szCs w:val="20"/>
              </w:rPr>
            </w:pPr>
            <w:r w:rsidRPr="00A910E9">
              <w:rPr>
                <w:sz w:val="20"/>
                <w:szCs w:val="20"/>
              </w:rPr>
              <w:t>2 495 434</w:t>
            </w:r>
          </w:p>
        </w:tc>
        <w:tc>
          <w:tcPr>
            <w:tcW w:w="1985" w:type="dxa"/>
          </w:tcPr>
          <w:p w14:paraId="46D6B906" w14:textId="2CC66C83" w:rsidR="00265243" w:rsidRPr="00A910E9" w:rsidRDefault="00265243" w:rsidP="00265243">
            <w:pPr>
              <w:jc w:val="right"/>
              <w:rPr>
                <w:sz w:val="20"/>
                <w:szCs w:val="20"/>
              </w:rPr>
            </w:pPr>
            <w:r w:rsidRPr="00A910E9">
              <w:rPr>
                <w:sz w:val="20"/>
                <w:szCs w:val="20"/>
              </w:rPr>
              <w:t>2 661 155</w:t>
            </w:r>
          </w:p>
        </w:tc>
        <w:tc>
          <w:tcPr>
            <w:tcW w:w="2126" w:type="dxa"/>
          </w:tcPr>
          <w:p w14:paraId="3684F4F2" w14:textId="7FEC9D10" w:rsidR="00265243" w:rsidRPr="00A910E9" w:rsidRDefault="00265243" w:rsidP="00265243">
            <w:pPr>
              <w:jc w:val="right"/>
              <w:rPr>
                <w:sz w:val="20"/>
                <w:szCs w:val="20"/>
              </w:rPr>
            </w:pPr>
            <w:r w:rsidRPr="00A910E9">
              <w:rPr>
                <w:sz w:val="20"/>
                <w:szCs w:val="20"/>
              </w:rPr>
              <w:t>7%</w:t>
            </w:r>
          </w:p>
        </w:tc>
      </w:tr>
      <w:tr w:rsidR="00265243" w:rsidRPr="002E77DC" w14:paraId="526D0552" w14:textId="77777777" w:rsidTr="0078304A">
        <w:trPr>
          <w:trHeight w:val="332"/>
        </w:trPr>
        <w:tc>
          <w:tcPr>
            <w:tcW w:w="3397" w:type="dxa"/>
            <w:vAlign w:val="bottom"/>
          </w:tcPr>
          <w:p w14:paraId="469234E9" w14:textId="77777777" w:rsidR="00265243" w:rsidRPr="002E77DC" w:rsidRDefault="00265243" w:rsidP="00265243">
            <w:pPr>
              <w:jc w:val="right"/>
              <w:rPr>
                <w:color w:val="000000"/>
                <w:sz w:val="20"/>
                <w:szCs w:val="20"/>
              </w:rPr>
            </w:pPr>
            <w:r w:rsidRPr="002E77DC">
              <w:rPr>
                <w:color w:val="000000"/>
                <w:sz w:val="20"/>
                <w:szCs w:val="20"/>
              </w:rPr>
              <w:t>Tūrisms</w:t>
            </w:r>
          </w:p>
        </w:tc>
        <w:tc>
          <w:tcPr>
            <w:tcW w:w="1843" w:type="dxa"/>
          </w:tcPr>
          <w:p w14:paraId="72049C7E" w14:textId="7C4040C8" w:rsidR="00265243" w:rsidRPr="00A910E9" w:rsidRDefault="00265243" w:rsidP="00265243">
            <w:pPr>
              <w:jc w:val="right"/>
              <w:rPr>
                <w:sz w:val="20"/>
                <w:szCs w:val="20"/>
              </w:rPr>
            </w:pPr>
            <w:r w:rsidRPr="00A910E9">
              <w:rPr>
                <w:sz w:val="20"/>
                <w:szCs w:val="20"/>
              </w:rPr>
              <w:t>601 546</w:t>
            </w:r>
          </w:p>
        </w:tc>
        <w:tc>
          <w:tcPr>
            <w:tcW w:w="1985" w:type="dxa"/>
          </w:tcPr>
          <w:p w14:paraId="35F48369" w14:textId="1A20ACAB" w:rsidR="00265243" w:rsidRPr="00A910E9" w:rsidRDefault="00265243" w:rsidP="00265243">
            <w:pPr>
              <w:jc w:val="right"/>
              <w:rPr>
                <w:sz w:val="20"/>
                <w:szCs w:val="20"/>
              </w:rPr>
            </w:pPr>
            <w:r w:rsidRPr="00A910E9">
              <w:rPr>
                <w:sz w:val="20"/>
                <w:szCs w:val="20"/>
              </w:rPr>
              <w:t>595 017</w:t>
            </w:r>
          </w:p>
        </w:tc>
        <w:tc>
          <w:tcPr>
            <w:tcW w:w="2126" w:type="dxa"/>
          </w:tcPr>
          <w:p w14:paraId="006233E2" w14:textId="1E1C1CBB" w:rsidR="00265243" w:rsidRPr="00A910E9" w:rsidRDefault="00265243" w:rsidP="00265243">
            <w:pPr>
              <w:jc w:val="right"/>
              <w:rPr>
                <w:sz w:val="20"/>
                <w:szCs w:val="20"/>
              </w:rPr>
            </w:pPr>
            <w:r w:rsidRPr="00A910E9">
              <w:rPr>
                <w:sz w:val="20"/>
                <w:szCs w:val="20"/>
              </w:rPr>
              <w:t>-1%</w:t>
            </w:r>
          </w:p>
        </w:tc>
      </w:tr>
      <w:tr w:rsidR="00265243" w:rsidRPr="002E77DC" w14:paraId="5D9361FF" w14:textId="77777777" w:rsidTr="0078304A">
        <w:trPr>
          <w:trHeight w:val="332"/>
        </w:trPr>
        <w:tc>
          <w:tcPr>
            <w:tcW w:w="3397" w:type="dxa"/>
            <w:vAlign w:val="bottom"/>
          </w:tcPr>
          <w:p w14:paraId="3B71F8AD" w14:textId="77777777" w:rsidR="00265243" w:rsidRPr="002E77DC" w:rsidRDefault="00265243" w:rsidP="00265243">
            <w:pPr>
              <w:jc w:val="right"/>
              <w:rPr>
                <w:color w:val="000000"/>
                <w:sz w:val="20"/>
                <w:szCs w:val="20"/>
              </w:rPr>
            </w:pPr>
            <w:r>
              <w:rPr>
                <w:color w:val="000000"/>
                <w:sz w:val="20"/>
                <w:szCs w:val="20"/>
              </w:rPr>
              <w:t xml:space="preserve">Nekustamā īpašuma daļa </w:t>
            </w:r>
          </w:p>
        </w:tc>
        <w:tc>
          <w:tcPr>
            <w:tcW w:w="1843" w:type="dxa"/>
          </w:tcPr>
          <w:p w14:paraId="1E5DDD91" w14:textId="51155109" w:rsidR="00265243" w:rsidRPr="00A910E9" w:rsidRDefault="00265243" w:rsidP="00265243">
            <w:pPr>
              <w:jc w:val="right"/>
              <w:rPr>
                <w:sz w:val="20"/>
                <w:szCs w:val="20"/>
              </w:rPr>
            </w:pPr>
            <w:r w:rsidRPr="00A910E9">
              <w:rPr>
                <w:sz w:val="20"/>
                <w:szCs w:val="20"/>
              </w:rPr>
              <w:t>738 606</w:t>
            </w:r>
          </w:p>
        </w:tc>
        <w:tc>
          <w:tcPr>
            <w:tcW w:w="1985" w:type="dxa"/>
          </w:tcPr>
          <w:p w14:paraId="1209B98D" w14:textId="601BA66E" w:rsidR="00265243" w:rsidRPr="00A910E9" w:rsidRDefault="00265243" w:rsidP="00265243">
            <w:pPr>
              <w:jc w:val="right"/>
              <w:rPr>
                <w:sz w:val="20"/>
                <w:szCs w:val="20"/>
              </w:rPr>
            </w:pPr>
            <w:r w:rsidRPr="00A910E9">
              <w:rPr>
                <w:sz w:val="20"/>
                <w:szCs w:val="20"/>
              </w:rPr>
              <w:t>907 556</w:t>
            </w:r>
          </w:p>
        </w:tc>
        <w:tc>
          <w:tcPr>
            <w:tcW w:w="2126" w:type="dxa"/>
          </w:tcPr>
          <w:p w14:paraId="1A2020B4" w14:textId="097DF818" w:rsidR="00265243" w:rsidRPr="00A910E9" w:rsidRDefault="00265243" w:rsidP="00265243">
            <w:pPr>
              <w:jc w:val="right"/>
              <w:rPr>
                <w:sz w:val="20"/>
                <w:szCs w:val="20"/>
              </w:rPr>
            </w:pPr>
            <w:r w:rsidRPr="00A910E9">
              <w:rPr>
                <w:sz w:val="20"/>
                <w:szCs w:val="20"/>
              </w:rPr>
              <w:t>23%</w:t>
            </w:r>
          </w:p>
        </w:tc>
      </w:tr>
      <w:tr w:rsidR="00DB5285" w:rsidRPr="002E77DC" w14:paraId="76FD4408" w14:textId="77777777" w:rsidTr="006173F4">
        <w:trPr>
          <w:trHeight w:val="332"/>
        </w:trPr>
        <w:tc>
          <w:tcPr>
            <w:tcW w:w="3397" w:type="dxa"/>
            <w:vAlign w:val="bottom"/>
          </w:tcPr>
          <w:p w14:paraId="7A234DD9" w14:textId="77777777" w:rsidR="00DB5285" w:rsidRDefault="00DB5285" w:rsidP="00DB5285">
            <w:pPr>
              <w:jc w:val="right"/>
              <w:rPr>
                <w:color w:val="000000"/>
                <w:sz w:val="20"/>
                <w:szCs w:val="20"/>
              </w:rPr>
            </w:pPr>
            <w:r>
              <w:rPr>
                <w:color w:val="000000"/>
                <w:sz w:val="20"/>
                <w:szCs w:val="20"/>
              </w:rPr>
              <w:t>Citas nozares</w:t>
            </w:r>
          </w:p>
        </w:tc>
        <w:tc>
          <w:tcPr>
            <w:tcW w:w="1843" w:type="dxa"/>
          </w:tcPr>
          <w:p w14:paraId="376E7259" w14:textId="7DF1848F" w:rsidR="00DB5285" w:rsidRPr="00DB5285" w:rsidRDefault="00DB5285" w:rsidP="00DB5285">
            <w:pPr>
              <w:jc w:val="right"/>
              <w:rPr>
                <w:sz w:val="20"/>
                <w:szCs w:val="20"/>
              </w:rPr>
            </w:pPr>
            <w:r w:rsidRPr="00DB5285">
              <w:rPr>
                <w:sz w:val="20"/>
                <w:szCs w:val="20"/>
              </w:rPr>
              <w:t>116 251</w:t>
            </w:r>
          </w:p>
        </w:tc>
        <w:tc>
          <w:tcPr>
            <w:tcW w:w="1985" w:type="dxa"/>
          </w:tcPr>
          <w:p w14:paraId="23258531" w14:textId="403F6104" w:rsidR="00DB5285" w:rsidRPr="00DB5285" w:rsidRDefault="00DB5285" w:rsidP="00DB5285">
            <w:pPr>
              <w:jc w:val="right"/>
              <w:rPr>
                <w:sz w:val="20"/>
                <w:szCs w:val="20"/>
              </w:rPr>
            </w:pPr>
            <w:r w:rsidRPr="00DB5285">
              <w:rPr>
                <w:sz w:val="20"/>
                <w:szCs w:val="20"/>
              </w:rPr>
              <w:t>912 642</w:t>
            </w:r>
          </w:p>
        </w:tc>
        <w:tc>
          <w:tcPr>
            <w:tcW w:w="2126" w:type="dxa"/>
          </w:tcPr>
          <w:p w14:paraId="71737FDD" w14:textId="5A79ABB8" w:rsidR="00DB5285" w:rsidRPr="00DB5285" w:rsidRDefault="00DB5285" w:rsidP="00DB5285">
            <w:pPr>
              <w:jc w:val="right"/>
              <w:rPr>
                <w:sz w:val="20"/>
                <w:szCs w:val="20"/>
              </w:rPr>
            </w:pPr>
            <w:r w:rsidRPr="00DB5285">
              <w:rPr>
                <w:sz w:val="20"/>
                <w:szCs w:val="20"/>
              </w:rPr>
              <w:t>685%</w:t>
            </w:r>
          </w:p>
        </w:tc>
      </w:tr>
    </w:tbl>
    <w:p w14:paraId="6D27E5C2" w14:textId="77777777" w:rsidR="006E210F" w:rsidRPr="002E77DC" w:rsidRDefault="006E210F" w:rsidP="006E210F">
      <w:pPr>
        <w:spacing w:line="360" w:lineRule="auto"/>
        <w:ind w:firstLine="840"/>
      </w:pPr>
    </w:p>
    <w:p w14:paraId="2EA6313F" w14:textId="390B2313" w:rsidR="006E210F" w:rsidRDefault="006E210F" w:rsidP="006E210F">
      <w:pPr>
        <w:spacing w:line="360" w:lineRule="auto"/>
        <w:ind w:firstLine="840"/>
        <w:jc w:val="both"/>
      </w:pPr>
      <w:r w:rsidRPr="002E77DC">
        <w:t xml:space="preserve"> No Nodarbinātības valsts aģentūras paredzēts finansējums</w:t>
      </w:r>
      <w:r>
        <w:t xml:space="preserve"> </w:t>
      </w:r>
      <w:r w:rsidRPr="00F97DA5">
        <w:t>4</w:t>
      </w:r>
      <w:r w:rsidR="00B20C31">
        <w:t>4</w:t>
      </w:r>
      <w:r>
        <w:t> </w:t>
      </w:r>
      <w:r w:rsidR="00B20C31">
        <w:t>684</w:t>
      </w:r>
      <w:r>
        <w:t xml:space="preserve"> </w:t>
      </w:r>
      <w:r w:rsidRPr="002E77DC">
        <w:t>EUR</w:t>
      </w:r>
      <w:r>
        <w:t xml:space="preserve">, bet vasarā plānots saņemt jauniešu nodarbinātības apmaksai </w:t>
      </w:r>
      <w:r w:rsidR="00B20C31">
        <w:t>228</w:t>
      </w:r>
      <w:r w:rsidRPr="00F97DA5">
        <w:t xml:space="preserve"> 6</w:t>
      </w:r>
      <w:r w:rsidR="00B20C31">
        <w:t>05</w:t>
      </w:r>
      <w:r>
        <w:t xml:space="preserve"> EUR</w:t>
      </w:r>
      <w:r w:rsidRPr="002E77DC">
        <w:t xml:space="preserve">. Būvvaldes uzturēšanas izmaksās ir paredzēti </w:t>
      </w:r>
      <w:r>
        <w:t xml:space="preserve">līdzekļi </w:t>
      </w:r>
      <w:r w:rsidR="00202B12">
        <w:t>paš</w:t>
      </w:r>
      <w:r w:rsidR="00270150">
        <w:t>valdību ēku tehniskā atzinuma sagatavošanai 100000 EUR.</w:t>
      </w:r>
      <w:r w:rsidRPr="002E77DC">
        <w:t xml:space="preserve"> </w:t>
      </w:r>
      <w:r>
        <w:t xml:space="preserve">Tūrisma nozarē plānotas investīcijas </w:t>
      </w:r>
      <w:r w:rsidR="00CC6D91" w:rsidRPr="00CC6D91">
        <w:t>102</w:t>
      </w:r>
      <w:r w:rsidR="00CC6D91">
        <w:t> </w:t>
      </w:r>
      <w:r w:rsidR="00CC6D91" w:rsidRPr="00CC6D91">
        <w:t>330</w:t>
      </w:r>
      <w:r w:rsidR="00CC6D91">
        <w:t xml:space="preserve"> </w:t>
      </w:r>
      <w:r>
        <w:t xml:space="preserve">EUR projektā "Iekļaujoši un pieejami zaļie dzelzceļi Igaunijā un Latvijā" (Inclusive and accessible Green Railways in Estonia and Latvia) Nr.EE-LV00057, </w:t>
      </w:r>
      <w:r w:rsidR="002B4CB3" w:rsidRPr="002B4CB3">
        <w:t>102</w:t>
      </w:r>
      <w:r w:rsidR="002B4CB3">
        <w:t> </w:t>
      </w:r>
      <w:r w:rsidR="002B4CB3" w:rsidRPr="002B4CB3">
        <w:t>408</w:t>
      </w:r>
      <w:r w:rsidR="002B4CB3">
        <w:t xml:space="preserve"> </w:t>
      </w:r>
      <w:r>
        <w:t xml:space="preserve">EUR - </w:t>
      </w:r>
      <w:r w:rsidRPr="0032368C">
        <w:t> </w:t>
      </w:r>
      <w:r w:rsidR="00AD48A7">
        <w:t>p</w:t>
      </w:r>
      <w:r w:rsidR="00AD48A7" w:rsidRPr="00AD48A7">
        <w:t>rojekt</w:t>
      </w:r>
      <w:r w:rsidR="00AD48A7">
        <w:t>am “</w:t>
      </w:r>
      <w:r w:rsidR="00AD48A7" w:rsidRPr="00AD48A7">
        <w:t xml:space="preserve"> Panorāmas </w:t>
      </w:r>
      <w:r w:rsidR="00AD48A7" w:rsidRPr="00AD48A7">
        <w:lastRenderedPageBreak/>
        <w:t xml:space="preserve">maršruta attīstība </w:t>
      </w:r>
      <w:r w:rsidR="00AD48A7">
        <w:t>–</w:t>
      </w:r>
      <w:r w:rsidR="00AD48A7" w:rsidRPr="00AD48A7">
        <w:t xml:space="preserve"> DIENVIDKURZEME</w:t>
      </w:r>
      <w:r w:rsidR="00AD48A7">
        <w:t>”</w:t>
      </w:r>
      <w:r w:rsidR="00A00A14">
        <w:t>,</w:t>
      </w:r>
      <w:r w:rsidR="00AD48A7">
        <w:t xml:space="preserve"> </w:t>
      </w:r>
      <w:r>
        <w:t xml:space="preserve">un </w:t>
      </w:r>
      <w:r w:rsidR="00A00A14" w:rsidRPr="00724281">
        <w:t>12</w:t>
      </w:r>
      <w:r w:rsidR="00A00A14">
        <w:t> </w:t>
      </w:r>
      <w:r w:rsidR="00A00A14" w:rsidRPr="00724281">
        <w:t>687</w:t>
      </w:r>
      <w:r w:rsidR="00A00A14">
        <w:t xml:space="preserve"> EUR </w:t>
      </w:r>
      <w:r>
        <w:t>projekt</w:t>
      </w:r>
      <w:r w:rsidR="00AD48A7">
        <w:t>am</w:t>
      </w:r>
      <w:r>
        <w:t xml:space="preserve"> “</w:t>
      </w:r>
      <w:r w:rsidRPr="004C5E83">
        <w:t>Putnu vērošanas tīkls Baltijas jūras piekrastē</w:t>
      </w:r>
      <w:r>
        <w:t xml:space="preserve">”. Citām nozarēm paredzēti līdzekļi </w:t>
      </w:r>
      <w:r w:rsidR="00265D1E">
        <w:t xml:space="preserve">projektam </w:t>
      </w:r>
      <w:r w:rsidR="009C2FAD">
        <w:t>´</w:t>
      </w:r>
      <w:r w:rsidR="002F0940" w:rsidRPr="002F0940">
        <w:t xml:space="preserve">Nacionālas nozīmes plūdu un krasta erozijas pasākumi Pāvilostas piekrastē </w:t>
      </w:r>
      <w:r w:rsidR="002F0940">
        <w:t xml:space="preserve">´- </w:t>
      </w:r>
      <w:r w:rsidR="002F0940" w:rsidRPr="002F0940">
        <w:t>73</w:t>
      </w:r>
      <w:r w:rsidR="002F0940">
        <w:t> </w:t>
      </w:r>
      <w:r w:rsidR="002F0940" w:rsidRPr="002F0940">
        <w:t>642</w:t>
      </w:r>
      <w:r w:rsidR="002F0940">
        <w:t xml:space="preserve"> EUR,  </w:t>
      </w:r>
      <w:r>
        <w:t>e</w:t>
      </w:r>
      <w:r w:rsidRPr="005F4ED6">
        <w:t>nergopārvaldības plāna izstrāde</w:t>
      </w:r>
      <w:r>
        <w:t xml:space="preserve">i – </w:t>
      </w:r>
      <w:r w:rsidR="00F3671F" w:rsidRPr="00F3671F">
        <w:t>67</w:t>
      </w:r>
      <w:r w:rsidR="00F3671F">
        <w:t> </w:t>
      </w:r>
      <w:r w:rsidR="00F3671F" w:rsidRPr="00F3671F">
        <w:t>427</w:t>
      </w:r>
      <w:r w:rsidR="00F3671F">
        <w:t xml:space="preserve"> </w:t>
      </w:r>
      <w:r>
        <w:t>EUR, p</w:t>
      </w:r>
      <w:r w:rsidRPr="003C7651">
        <w:t>ašvaldības līdzfinansējuma konkurs</w:t>
      </w:r>
      <w:r>
        <w:t>am</w:t>
      </w:r>
      <w:r w:rsidRPr="003C7651">
        <w:t xml:space="preserve"> uzņēmējdarbības veicināšanai</w:t>
      </w:r>
      <w:r>
        <w:t xml:space="preserve"> -</w:t>
      </w:r>
      <w:r w:rsidR="008E7D64">
        <w:t xml:space="preserve"> </w:t>
      </w:r>
      <w:r w:rsidR="00217C52">
        <w:t>67</w:t>
      </w:r>
      <w:r>
        <w:t> </w:t>
      </w:r>
      <w:r w:rsidRPr="00F97DA5">
        <w:t>000</w:t>
      </w:r>
      <w:r>
        <w:t xml:space="preserve"> EUR, </w:t>
      </w:r>
      <w:r w:rsidRPr="00AD6E84">
        <w:t>NVO un iedzīvotāju iniciatīvu projektu konkurs</w:t>
      </w:r>
      <w:r>
        <w:t xml:space="preserve">am - </w:t>
      </w:r>
      <w:r w:rsidRPr="00F97DA5">
        <w:t>40</w:t>
      </w:r>
      <w:r>
        <w:t> </w:t>
      </w:r>
      <w:r w:rsidRPr="00F97DA5">
        <w:t>000</w:t>
      </w:r>
      <w:r>
        <w:t xml:space="preserve"> EUR, u</w:t>
      </w:r>
      <w:r w:rsidRPr="00C87698">
        <w:t>zņēmējdarbības atbalsta pasākumi</w:t>
      </w:r>
      <w:r>
        <w:t xml:space="preserve">em – </w:t>
      </w:r>
      <w:r w:rsidR="0098431C">
        <w:t>46</w:t>
      </w:r>
      <w:r>
        <w:t> </w:t>
      </w:r>
      <w:r w:rsidR="0098431C">
        <w:t>000</w:t>
      </w:r>
      <w:r>
        <w:t xml:space="preserve"> EUR, un   valsts noteiktam iedzīvotāju līdzdalības budžetam</w:t>
      </w:r>
      <w:r w:rsidR="001B5EC6">
        <w:t xml:space="preserve"> </w:t>
      </w:r>
      <w:r w:rsidR="00F42EC7">
        <w:t>ieskaitot iepriekšējā gada neizlietoto finansējumu</w:t>
      </w:r>
      <w:r>
        <w:t xml:space="preserve"> – </w:t>
      </w:r>
      <w:r w:rsidR="009500CF">
        <w:t>93</w:t>
      </w:r>
      <w:r>
        <w:t> </w:t>
      </w:r>
      <w:r w:rsidR="009500CF">
        <w:t>266</w:t>
      </w:r>
      <w:r>
        <w:t xml:space="preserve"> EUR.</w:t>
      </w:r>
    </w:p>
    <w:p w14:paraId="38BC1BC6" w14:textId="032F28D0" w:rsidR="006E210F" w:rsidRDefault="006E210F" w:rsidP="006E210F">
      <w:pPr>
        <w:spacing w:line="360" w:lineRule="auto"/>
        <w:ind w:firstLine="840"/>
        <w:jc w:val="both"/>
      </w:pPr>
      <w:r w:rsidRPr="002E77DC">
        <w:t xml:space="preserve">Vides aizsardzībai no novada budžeta plāno izlietot </w:t>
      </w:r>
      <w:r w:rsidR="00C41F3E">
        <w:t>0</w:t>
      </w:r>
      <w:r>
        <w:t>,</w:t>
      </w:r>
      <w:r w:rsidR="00C41F3E">
        <w:t>7</w:t>
      </w:r>
      <w:r w:rsidRPr="002E77DC">
        <w:t xml:space="preserve">% jeb </w:t>
      </w:r>
      <w:r w:rsidR="00C41F3E" w:rsidRPr="00C41F3E">
        <w:t>519</w:t>
      </w:r>
      <w:r w:rsidR="008E7D64">
        <w:t> </w:t>
      </w:r>
      <w:r w:rsidR="00C41F3E" w:rsidRPr="00C41F3E">
        <w:t>409</w:t>
      </w:r>
      <w:r w:rsidR="008E7D64">
        <w:t xml:space="preserve"> </w:t>
      </w:r>
      <w:r>
        <w:t>EUR, t. sk. meliorācijas sistēmu uzturēšanai, vides sakopšanai un vides piesārņojuma mazināšanai, kā arī</w:t>
      </w:r>
      <w:r w:rsidR="00287905">
        <w:t xml:space="preserve"> </w:t>
      </w:r>
      <w:r w:rsidR="00D27FC7">
        <w:t xml:space="preserve"> kanalizācijas </w:t>
      </w:r>
      <w:r w:rsidR="00CA3455">
        <w:t xml:space="preserve">notekūdeņu projektu </w:t>
      </w:r>
      <w:r w:rsidR="00DA4ABB">
        <w:t xml:space="preserve">izstrāde  </w:t>
      </w:r>
      <w:r w:rsidR="003918A0">
        <w:t>Vaiņodei un Pāvilostai.</w:t>
      </w:r>
    </w:p>
    <w:p w14:paraId="23824543" w14:textId="2425FB2B" w:rsidR="006E210F" w:rsidRDefault="006E210F" w:rsidP="006E210F">
      <w:pPr>
        <w:spacing w:line="360" w:lineRule="auto"/>
        <w:ind w:firstLine="840"/>
        <w:jc w:val="both"/>
      </w:pPr>
      <w:r w:rsidRPr="002E77DC">
        <w:t xml:space="preserve">Novada budžeta izdevumu daļā teritoriju un mājokļu apsaimniekošanai atvēlēti </w:t>
      </w:r>
      <w:r>
        <w:t>1</w:t>
      </w:r>
      <w:r w:rsidR="003918A0">
        <w:t>4</w:t>
      </w:r>
      <w:r w:rsidRPr="002E77DC">
        <w:t xml:space="preserve">% </w:t>
      </w:r>
      <w:r>
        <w:t>no pamatbudžeta izdevumiem</w:t>
      </w:r>
      <w:r w:rsidRPr="002E77DC">
        <w:t xml:space="preserve"> jeb </w:t>
      </w:r>
      <w:r w:rsidR="00B04020" w:rsidRPr="00B04020">
        <w:t>10 610</w:t>
      </w:r>
      <w:r w:rsidR="00B04020">
        <w:t> </w:t>
      </w:r>
      <w:r w:rsidR="00B04020" w:rsidRPr="00B04020">
        <w:t>885</w:t>
      </w:r>
      <w:r w:rsidR="00B04020">
        <w:t xml:space="preserve"> </w:t>
      </w:r>
      <w:r w:rsidRPr="002E77DC">
        <w:t>EUR</w:t>
      </w:r>
      <w:r>
        <w:t xml:space="preserve">, t.i., </w:t>
      </w:r>
      <w:r w:rsidR="00B04020">
        <w:t>2</w:t>
      </w:r>
      <w:r w:rsidR="00AB260E">
        <w:t>9</w:t>
      </w:r>
      <w:r>
        <w:t>% vairāk kā iepriekšējā gadā.</w:t>
      </w:r>
    </w:p>
    <w:tbl>
      <w:tblPr>
        <w:tblStyle w:val="Reatabula"/>
        <w:tblW w:w="9356" w:type="dxa"/>
        <w:tblInd w:w="-5" w:type="dxa"/>
        <w:tblLayout w:type="fixed"/>
        <w:tblLook w:val="04A0" w:firstRow="1" w:lastRow="0" w:firstColumn="1" w:lastColumn="0" w:noHBand="0" w:noVBand="1"/>
      </w:tblPr>
      <w:tblGrid>
        <w:gridCol w:w="3402"/>
        <w:gridCol w:w="1985"/>
        <w:gridCol w:w="2126"/>
        <w:gridCol w:w="1843"/>
      </w:tblGrid>
      <w:tr w:rsidR="006E210F" w:rsidRPr="002E77DC" w14:paraId="0B7B01C1" w14:textId="77777777" w:rsidTr="00183521">
        <w:trPr>
          <w:trHeight w:val="943"/>
        </w:trPr>
        <w:tc>
          <w:tcPr>
            <w:tcW w:w="3402" w:type="dxa"/>
            <w:vAlign w:val="center"/>
          </w:tcPr>
          <w:p w14:paraId="57A7D602" w14:textId="77777777" w:rsidR="006E210F" w:rsidRPr="002E77DC" w:rsidRDefault="006E210F" w:rsidP="00183521">
            <w:pPr>
              <w:spacing w:line="360" w:lineRule="auto"/>
              <w:jc w:val="center"/>
              <w:outlineLvl w:val="0"/>
            </w:pPr>
            <w:r w:rsidRPr="002E77DC">
              <w:t>Teritoriju un mājokļu apsaimniekošana</w:t>
            </w:r>
          </w:p>
        </w:tc>
        <w:tc>
          <w:tcPr>
            <w:tcW w:w="1985" w:type="dxa"/>
            <w:vAlign w:val="center"/>
          </w:tcPr>
          <w:p w14:paraId="5CC9ED2E" w14:textId="7C8C9341" w:rsidR="006E210F" w:rsidRPr="002E77DC" w:rsidRDefault="006E210F" w:rsidP="00183521">
            <w:pPr>
              <w:autoSpaceDE w:val="0"/>
              <w:autoSpaceDN w:val="0"/>
              <w:adjustRightInd w:val="0"/>
              <w:spacing w:after="120"/>
              <w:jc w:val="center"/>
              <w:rPr>
                <w:rFonts w:eastAsia="Calibri"/>
              </w:rPr>
            </w:pPr>
            <w:r w:rsidRPr="002E77DC">
              <w:rPr>
                <w:rFonts w:eastAsia="Calibri"/>
              </w:rPr>
              <w:t>202</w:t>
            </w:r>
            <w:r w:rsidR="00AB260E">
              <w:rPr>
                <w:rFonts w:eastAsia="Calibri"/>
              </w:rPr>
              <w:t>5</w:t>
            </w:r>
            <w:r w:rsidRPr="002E77DC">
              <w:rPr>
                <w:rFonts w:eastAsia="Calibri"/>
              </w:rPr>
              <w:t>.gada izpilde</w:t>
            </w:r>
            <w:r>
              <w:rPr>
                <w:rFonts w:eastAsia="Calibri"/>
              </w:rPr>
              <w:t xml:space="preserve"> EUR</w:t>
            </w:r>
          </w:p>
        </w:tc>
        <w:tc>
          <w:tcPr>
            <w:tcW w:w="2126" w:type="dxa"/>
            <w:vAlign w:val="center"/>
          </w:tcPr>
          <w:p w14:paraId="499CF17A" w14:textId="13578C9C" w:rsidR="006E210F" w:rsidRPr="002E77DC" w:rsidRDefault="006E210F" w:rsidP="00183521">
            <w:pPr>
              <w:autoSpaceDE w:val="0"/>
              <w:autoSpaceDN w:val="0"/>
              <w:adjustRightInd w:val="0"/>
              <w:spacing w:after="120"/>
              <w:jc w:val="center"/>
              <w:rPr>
                <w:rFonts w:eastAsia="Calibri"/>
              </w:rPr>
            </w:pPr>
            <w:r w:rsidRPr="002E77DC">
              <w:rPr>
                <w:rFonts w:eastAsia="Calibri"/>
              </w:rPr>
              <w:t>202</w:t>
            </w:r>
            <w:r w:rsidR="00AB260E">
              <w:rPr>
                <w:rFonts w:eastAsia="Calibri"/>
              </w:rPr>
              <w:t>6</w:t>
            </w:r>
            <w:r w:rsidRPr="002E77DC">
              <w:rPr>
                <w:rFonts w:eastAsia="Calibri"/>
              </w:rPr>
              <w:t>.gada budžeta prognoze</w:t>
            </w:r>
            <w:r>
              <w:rPr>
                <w:rFonts w:eastAsia="Calibri"/>
              </w:rPr>
              <w:t xml:space="preserve"> EUR </w:t>
            </w:r>
          </w:p>
        </w:tc>
        <w:tc>
          <w:tcPr>
            <w:tcW w:w="1843" w:type="dxa"/>
            <w:vAlign w:val="center"/>
          </w:tcPr>
          <w:p w14:paraId="24E8A126" w14:textId="77777777" w:rsidR="006E210F" w:rsidRPr="002E77DC" w:rsidRDefault="006E210F" w:rsidP="00183521">
            <w:pPr>
              <w:jc w:val="center"/>
            </w:pPr>
            <w:r w:rsidRPr="002E77DC">
              <w:t>Salīdzinājums</w:t>
            </w:r>
          </w:p>
        </w:tc>
      </w:tr>
      <w:tr w:rsidR="00AB260E" w:rsidRPr="002E77DC" w14:paraId="1902165E" w14:textId="77777777" w:rsidTr="00C951AC">
        <w:trPr>
          <w:trHeight w:val="347"/>
        </w:trPr>
        <w:tc>
          <w:tcPr>
            <w:tcW w:w="3402" w:type="dxa"/>
            <w:vAlign w:val="center"/>
          </w:tcPr>
          <w:p w14:paraId="08FEFF84" w14:textId="77777777" w:rsidR="00AB260E" w:rsidRPr="002E77DC" w:rsidRDefault="00AB260E" w:rsidP="00AB260E">
            <w:pPr>
              <w:jc w:val="right"/>
            </w:pPr>
            <w:r w:rsidRPr="002E77DC">
              <w:t>Kopā:</w:t>
            </w:r>
          </w:p>
        </w:tc>
        <w:tc>
          <w:tcPr>
            <w:tcW w:w="1985" w:type="dxa"/>
          </w:tcPr>
          <w:p w14:paraId="399D197C" w14:textId="705CECF2" w:rsidR="00AB260E" w:rsidRPr="00156918" w:rsidRDefault="00AB260E" w:rsidP="00AB260E">
            <w:pPr>
              <w:jc w:val="center"/>
              <w:rPr>
                <w:highlight w:val="yellow"/>
              </w:rPr>
            </w:pPr>
            <w:r w:rsidRPr="00CF2F89">
              <w:t>8 229 674</w:t>
            </w:r>
          </w:p>
        </w:tc>
        <w:tc>
          <w:tcPr>
            <w:tcW w:w="2126" w:type="dxa"/>
          </w:tcPr>
          <w:p w14:paraId="5AE77C2B" w14:textId="33D5C9EC" w:rsidR="00AB260E" w:rsidRPr="00156918" w:rsidRDefault="00AB260E" w:rsidP="00AB260E">
            <w:pPr>
              <w:jc w:val="center"/>
              <w:rPr>
                <w:highlight w:val="yellow"/>
              </w:rPr>
            </w:pPr>
            <w:r w:rsidRPr="00CF2F89">
              <w:t>10 610 885</w:t>
            </w:r>
          </w:p>
        </w:tc>
        <w:tc>
          <w:tcPr>
            <w:tcW w:w="1843" w:type="dxa"/>
          </w:tcPr>
          <w:p w14:paraId="7D935A74" w14:textId="20AC609F" w:rsidR="00AB260E" w:rsidRPr="00156918" w:rsidRDefault="00AB260E" w:rsidP="00AB260E">
            <w:pPr>
              <w:spacing w:line="360" w:lineRule="auto"/>
              <w:jc w:val="center"/>
              <w:rPr>
                <w:highlight w:val="yellow"/>
              </w:rPr>
            </w:pPr>
            <w:r w:rsidRPr="00CF2F89">
              <w:t>29%</w:t>
            </w:r>
          </w:p>
        </w:tc>
      </w:tr>
      <w:tr w:rsidR="009717CD" w:rsidRPr="002E77DC" w14:paraId="693BB2DE" w14:textId="77777777" w:rsidTr="00C54400">
        <w:trPr>
          <w:trHeight w:val="332"/>
        </w:trPr>
        <w:tc>
          <w:tcPr>
            <w:tcW w:w="3402" w:type="dxa"/>
            <w:vAlign w:val="bottom"/>
          </w:tcPr>
          <w:p w14:paraId="0020E24E" w14:textId="77777777" w:rsidR="009717CD" w:rsidRPr="002E77DC" w:rsidRDefault="009717CD" w:rsidP="009717CD">
            <w:pPr>
              <w:jc w:val="right"/>
              <w:rPr>
                <w:color w:val="000000"/>
                <w:sz w:val="20"/>
                <w:szCs w:val="20"/>
              </w:rPr>
            </w:pPr>
            <w:r>
              <w:rPr>
                <w:color w:val="000000"/>
                <w:sz w:val="20"/>
                <w:szCs w:val="20"/>
              </w:rPr>
              <w:t>Komunālā pārvalde</w:t>
            </w:r>
          </w:p>
        </w:tc>
        <w:tc>
          <w:tcPr>
            <w:tcW w:w="1985" w:type="dxa"/>
            <w:tcBorders>
              <w:top w:val="single" w:sz="4" w:space="0" w:color="auto"/>
              <w:left w:val="single" w:sz="4" w:space="0" w:color="auto"/>
              <w:bottom w:val="single" w:sz="4" w:space="0" w:color="auto"/>
              <w:right w:val="single" w:sz="4" w:space="0" w:color="auto"/>
            </w:tcBorders>
            <w:vAlign w:val="center"/>
          </w:tcPr>
          <w:p w14:paraId="089668C3" w14:textId="14F1D1E0" w:rsidR="009717CD" w:rsidRPr="009717CD" w:rsidRDefault="009717CD" w:rsidP="009717CD">
            <w:pPr>
              <w:jc w:val="right"/>
              <w:rPr>
                <w:sz w:val="20"/>
                <w:szCs w:val="20"/>
              </w:rPr>
            </w:pPr>
            <w:r w:rsidRPr="009717CD">
              <w:rPr>
                <w:color w:val="000000"/>
                <w:sz w:val="20"/>
                <w:szCs w:val="20"/>
              </w:rPr>
              <w:t>3 644 083</w:t>
            </w:r>
          </w:p>
        </w:tc>
        <w:tc>
          <w:tcPr>
            <w:tcW w:w="2126" w:type="dxa"/>
            <w:tcBorders>
              <w:top w:val="single" w:sz="4" w:space="0" w:color="auto"/>
              <w:left w:val="nil"/>
              <w:bottom w:val="single" w:sz="4" w:space="0" w:color="auto"/>
              <w:right w:val="single" w:sz="4" w:space="0" w:color="auto"/>
            </w:tcBorders>
            <w:vAlign w:val="center"/>
          </w:tcPr>
          <w:p w14:paraId="0D3DAA94" w14:textId="4210206D" w:rsidR="009717CD" w:rsidRPr="009717CD" w:rsidRDefault="009717CD" w:rsidP="009717CD">
            <w:pPr>
              <w:jc w:val="right"/>
              <w:rPr>
                <w:sz w:val="20"/>
                <w:szCs w:val="20"/>
              </w:rPr>
            </w:pPr>
            <w:r w:rsidRPr="009717CD">
              <w:rPr>
                <w:color w:val="000000"/>
                <w:sz w:val="20"/>
                <w:szCs w:val="20"/>
              </w:rPr>
              <w:t>4 673 284</w:t>
            </w:r>
          </w:p>
        </w:tc>
        <w:tc>
          <w:tcPr>
            <w:tcW w:w="1843" w:type="dxa"/>
            <w:tcBorders>
              <w:top w:val="single" w:sz="4" w:space="0" w:color="auto"/>
              <w:left w:val="nil"/>
              <w:bottom w:val="single" w:sz="4" w:space="0" w:color="auto"/>
              <w:right w:val="single" w:sz="4" w:space="0" w:color="auto"/>
            </w:tcBorders>
            <w:vAlign w:val="center"/>
          </w:tcPr>
          <w:p w14:paraId="11C5B84A" w14:textId="70D263A8" w:rsidR="009717CD" w:rsidRPr="009717CD" w:rsidRDefault="009717CD" w:rsidP="009717CD">
            <w:pPr>
              <w:jc w:val="right"/>
              <w:rPr>
                <w:sz w:val="20"/>
                <w:szCs w:val="20"/>
              </w:rPr>
            </w:pPr>
            <w:r w:rsidRPr="009717CD">
              <w:rPr>
                <w:color w:val="000000"/>
                <w:sz w:val="20"/>
                <w:szCs w:val="20"/>
              </w:rPr>
              <w:t>28%</w:t>
            </w:r>
          </w:p>
        </w:tc>
      </w:tr>
      <w:tr w:rsidR="009717CD" w:rsidRPr="002E77DC" w14:paraId="5F30C7C1" w14:textId="77777777" w:rsidTr="00C54400">
        <w:trPr>
          <w:trHeight w:val="332"/>
        </w:trPr>
        <w:tc>
          <w:tcPr>
            <w:tcW w:w="3402" w:type="dxa"/>
            <w:vAlign w:val="bottom"/>
          </w:tcPr>
          <w:p w14:paraId="3249EC9B" w14:textId="77777777" w:rsidR="009717CD" w:rsidRPr="002E77DC" w:rsidRDefault="009717CD" w:rsidP="009717CD">
            <w:pPr>
              <w:jc w:val="right"/>
              <w:rPr>
                <w:color w:val="000000"/>
                <w:sz w:val="20"/>
                <w:szCs w:val="20"/>
              </w:rPr>
            </w:pPr>
            <w:r w:rsidRPr="002E77DC">
              <w:rPr>
                <w:color w:val="000000"/>
                <w:sz w:val="20"/>
                <w:szCs w:val="20"/>
              </w:rPr>
              <w:t>Mājokļu attīstība</w:t>
            </w:r>
          </w:p>
        </w:tc>
        <w:tc>
          <w:tcPr>
            <w:tcW w:w="1985" w:type="dxa"/>
            <w:tcBorders>
              <w:top w:val="nil"/>
              <w:left w:val="single" w:sz="4" w:space="0" w:color="auto"/>
              <w:bottom w:val="single" w:sz="4" w:space="0" w:color="auto"/>
              <w:right w:val="single" w:sz="4" w:space="0" w:color="auto"/>
            </w:tcBorders>
            <w:vAlign w:val="center"/>
          </w:tcPr>
          <w:p w14:paraId="5906B6BF" w14:textId="678727F0" w:rsidR="009717CD" w:rsidRPr="009717CD" w:rsidRDefault="009717CD" w:rsidP="009717CD">
            <w:pPr>
              <w:jc w:val="right"/>
              <w:rPr>
                <w:sz w:val="20"/>
                <w:szCs w:val="20"/>
              </w:rPr>
            </w:pPr>
            <w:r w:rsidRPr="009717CD">
              <w:rPr>
                <w:color w:val="000000"/>
                <w:sz w:val="20"/>
                <w:szCs w:val="20"/>
              </w:rPr>
              <w:t>518 868</w:t>
            </w:r>
          </w:p>
        </w:tc>
        <w:tc>
          <w:tcPr>
            <w:tcW w:w="2126" w:type="dxa"/>
            <w:tcBorders>
              <w:top w:val="nil"/>
              <w:left w:val="nil"/>
              <w:bottom w:val="single" w:sz="4" w:space="0" w:color="auto"/>
              <w:right w:val="single" w:sz="4" w:space="0" w:color="auto"/>
            </w:tcBorders>
            <w:vAlign w:val="center"/>
          </w:tcPr>
          <w:p w14:paraId="719D9F51" w14:textId="697293C4" w:rsidR="009717CD" w:rsidRPr="009717CD" w:rsidRDefault="009717CD" w:rsidP="009717CD">
            <w:pPr>
              <w:jc w:val="right"/>
              <w:rPr>
                <w:sz w:val="20"/>
                <w:szCs w:val="20"/>
              </w:rPr>
            </w:pPr>
            <w:r w:rsidRPr="009717CD">
              <w:rPr>
                <w:color w:val="000000"/>
                <w:sz w:val="20"/>
                <w:szCs w:val="20"/>
              </w:rPr>
              <w:t>1 125 452</w:t>
            </w:r>
          </w:p>
        </w:tc>
        <w:tc>
          <w:tcPr>
            <w:tcW w:w="1843" w:type="dxa"/>
            <w:tcBorders>
              <w:top w:val="nil"/>
              <w:left w:val="nil"/>
              <w:bottom w:val="single" w:sz="4" w:space="0" w:color="auto"/>
              <w:right w:val="single" w:sz="4" w:space="0" w:color="auto"/>
            </w:tcBorders>
            <w:vAlign w:val="center"/>
          </w:tcPr>
          <w:p w14:paraId="46F5CFC6" w14:textId="50BB851A" w:rsidR="009717CD" w:rsidRPr="009717CD" w:rsidRDefault="009717CD" w:rsidP="009717CD">
            <w:pPr>
              <w:jc w:val="right"/>
              <w:rPr>
                <w:sz w:val="20"/>
                <w:szCs w:val="20"/>
              </w:rPr>
            </w:pPr>
            <w:r w:rsidRPr="009717CD">
              <w:rPr>
                <w:color w:val="000000"/>
                <w:sz w:val="20"/>
                <w:szCs w:val="20"/>
              </w:rPr>
              <w:t>117%</w:t>
            </w:r>
          </w:p>
        </w:tc>
      </w:tr>
      <w:tr w:rsidR="009717CD" w:rsidRPr="002E77DC" w14:paraId="5E385E90" w14:textId="77777777" w:rsidTr="00C54400">
        <w:trPr>
          <w:trHeight w:val="332"/>
        </w:trPr>
        <w:tc>
          <w:tcPr>
            <w:tcW w:w="3402" w:type="dxa"/>
            <w:vAlign w:val="bottom"/>
          </w:tcPr>
          <w:p w14:paraId="6D6C155F" w14:textId="77777777" w:rsidR="009717CD" w:rsidRPr="002E77DC" w:rsidRDefault="009717CD" w:rsidP="009717CD">
            <w:pPr>
              <w:jc w:val="right"/>
              <w:rPr>
                <w:color w:val="000000"/>
                <w:sz w:val="20"/>
                <w:szCs w:val="20"/>
              </w:rPr>
            </w:pPr>
            <w:r w:rsidRPr="002E77DC">
              <w:rPr>
                <w:color w:val="000000"/>
                <w:sz w:val="20"/>
                <w:szCs w:val="20"/>
              </w:rPr>
              <w:t>Ūdensapgāde</w:t>
            </w:r>
          </w:p>
        </w:tc>
        <w:tc>
          <w:tcPr>
            <w:tcW w:w="1985" w:type="dxa"/>
            <w:tcBorders>
              <w:top w:val="nil"/>
              <w:left w:val="single" w:sz="4" w:space="0" w:color="auto"/>
              <w:bottom w:val="single" w:sz="4" w:space="0" w:color="auto"/>
              <w:right w:val="single" w:sz="4" w:space="0" w:color="auto"/>
            </w:tcBorders>
            <w:vAlign w:val="center"/>
          </w:tcPr>
          <w:p w14:paraId="667CCAAE" w14:textId="7BE252F7" w:rsidR="009717CD" w:rsidRPr="009717CD" w:rsidRDefault="009717CD" w:rsidP="009717CD">
            <w:pPr>
              <w:jc w:val="right"/>
              <w:rPr>
                <w:sz w:val="20"/>
                <w:szCs w:val="20"/>
              </w:rPr>
            </w:pPr>
            <w:r w:rsidRPr="009717CD">
              <w:rPr>
                <w:color w:val="000000"/>
                <w:sz w:val="20"/>
                <w:szCs w:val="20"/>
              </w:rPr>
              <w:t>283</w:t>
            </w:r>
          </w:p>
        </w:tc>
        <w:tc>
          <w:tcPr>
            <w:tcW w:w="2126" w:type="dxa"/>
            <w:tcBorders>
              <w:top w:val="nil"/>
              <w:left w:val="nil"/>
              <w:bottom w:val="single" w:sz="4" w:space="0" w:color="auto"/>
              <w:right w:val="single" w:sz="4" w:space="0" w:color="auto"/>
            </w:tcBorders>
            <w:vAlign w:val="center"/>
          </w:tcPr>
          <w:p w14:paraId="5C786813" w14:textId="6FEDB3E2" w:rsidR="009717CD" w:rsidRPr="009717CD" w:rsidRDefault="009717CD" w:rsidP="009717CD">
            <w:pPr>
              <w:jc w:val="right"/>
              <w:rPr>
                <w:sz w:val="20"/>
                <w:szCs w:val="20"/>
              </w:rPr>
            </w:pPr>
            <w:r w:rsidRPr="009717CD">
              <w:rPr>
                <w:color w:val="000000"/>
                <w:sz w:val="20"/>
                <w:szCs w:val="20"/>
              </w:rPr>
              <w:t>344</w:t>
            </w:r>
          </w:p>
        </w:tc>
        <w:tc>
          <w:tcPr>
            <w:tcW w:w="1843" w:type="dxa"/>
            <w:tcBorders>
              <w:top w:val="nil"/>
              <w:left w:val="nil"/>
              <w:bottom w:val="single" w:sz="4" w:space="0" w:color="auto"/>
              <w:right w:val="single" w:sz="4" w:space="0" w:color="auto"/>
            </w:tcBorders>
            <w:vAlign w:val="center"/>
          </w:tcPr>
          <w:p w14:paraId="123D8C34" w14:textId="58357D30" w:rsidR="009717CD" w:rsidRPr="009717CD" w:rsidRDefault="009717CD" w:rsidP="009717CD">
            <w:pPr>
              <w:jc w:val="right"/>
              <w:rPr>
                <w:sz w:val="20"/>
                <w:szCs w:val="20"/>
              </w:rPr>
            </w:pPr>
            <w:r w:rsidRPr="009717CD">
              <w:rPr>
                <w:color w:val="000000"/>
                <w:sz w:val="20"/>
                <w:szCs w:val="20"/>
              </w:rPr>
              <w:t>22%</w:t>
            </w:r>
          </w:p>
        </w:tc>
      </w:tr>
      <w:tr w:rsidR="009717CD" w:rsidRPr="002E77DC" w14:paraId="1A2748CB" w14:textId="77777777" w:rsidTr="00C54400">
        <w:trPr>
          <w:trHeight w:val="332"/>
        </w:trPr>
        <w:tc>
          <w:tcPr>
            <w:tcW w:w="3402" w:type="dxa"/>
            <w:vAlign w:val="bottom"/>
          </w:tcPr>
          <w:p w14:paraId="33909294" w14:textId="77777777" w:rsidR="009717CD" w:rsidRPr="002E77DC" w:rsidRDefault="009717CD" w:rsidP="009717CD">
            <w:pPr>
              <w:jc w:val="right"/>
              <w:rPr>
                <w:color w:val="000000"/>
                <w:sz w:val="20"/>
                <w:szCs w:val="20"/>
              </w:rPr>
            </w:pPr>
            <w:r w:rsidRPr="002E77DC">
              <w:rPr>
                <w:color w:val="000000"/>
                <w:sz w:val="20"/>
                <w:szCs w:val="20"/>
              </w:rPr>
              <w:t>Ielu apgaismošana</w:t>
            </w:r>
          </w:p>
        </w:tc>
        <w:tc>
          <w:tcPr>
            <w:tcW w:w="1985" w:type="dxa"/>
            <w:tcBorders>
              <w:top w:val="nil"/>
              <w:left w:val="single" w:sz="4" w:space="0" w:color="auto"/>
              <w:bottom w:val="single" w:sz="4" w:space="0" w:color="auto"/>
              <w:right w:val="single" w:sz="4" w:space="0" w:color="auto"/>
            </w:tcBorders>
            <w:vAlign w:val="center"/>
          </w:tcPr>
          <w:p w14:paraId="4C54108E" w14:textId="6ECDA801" w:rsidR="009717CD" w:rsidRPr="009717CD" w:rsidRDefault="009717CD" w:rsidP="009717CD">
            <w:pPr>
              <w:jc w:val="right"/>
              <w:rPr>
                <w:sz w:val="20"/>
                <w:szCs w:val="20"/>
              </w:rPr>
            </w:pPr>
            <w:r w:rsidRPr="009717CD">
              <w:rPr>
                <w:color w:val="000000"/>
                <w:sz w:val="20"/>
                <w:szCs w:val="20"/>
              </w:rPr>
              <w:t>551 782</w:t>
            </w:r>
          </w:p>
        </w:tc>
        <w:tc>
          <w:tcPr>
            <w:tcW w:w="2126" w:type="dxa"/>
            <w:tcBorders>
              <w:top w:val="nil"/>
              <w:left w:val="nil"/>
              <w:bottom w:val="single" w:sz="4" w:space="0" w:color="auto"/>
              <w:right w:val="single" w:sz="4" w:space="0" w:color="auto"/>
            </w:tcBorders>
            <w:vAlign w:val="center"/>
          </w:tcPr>
          <w:p w14:paraId="500BFACA" w14:textId="0C1A445D" w:rsidR="009717CD" w:rsidRPr="009717CD" w:rsidRDefault="009717CD" w:rsidP="009717CD">
            <w:pPr>
              <w:jc w:val="right"/>
              <w:rPr>
                <w:sz w:val="20"/>
                <w:szCs w:val="20"/>
              </w:rPr>
            </w:pPr>
            <w:r w:rsidRPr="009717CD">
              <w:rPr>
                <w:color w:val="000000"/>
                <w:sz w:val="20"/>
                <w:szCs w:val="20"/>
              </w:rPr>
              <w:t>396 600</w:t>
            </w:r>
          </w:p>
        </w:tc>
        <w:tc>
          <w:tcPr>
            <w:tcW w:w="1843" w:type="dxa"/>
            <w:tcBorders>
              <w:top w:val="nil"/>
              <w:left w:val="nil"/>
              <w:bottom w:val="single" w:sz="4" w:space="0" w:color="auto"/>
              <w:right w:val="single" w:sz="4" w:space="0" w:color="auto"/>
            </w:tcBorders>
            <w:vAlign w:val="center"/>
          </w:tcPr>
          <w:p w14:paraId="76A1041A" w14:textId="0A2B071C" w:rsidR="009717CD" w:rsidRPr="009717CD" w:rsidRDefault="009717CD" w:rsidP="009717CD">
            <w:pPr>
              <w:jc w:val="right"/>
              <w:rPr>
                <w:sz w:val="20"/>
                <w:szCs w:val="20"/>
              </w:rPr>
            </w:pPr>
            <w:r w:rsidRPr="009717CD">
              <w:rPr>
                <w:color w:val="000000"/>
                <w:sz w:val="20"/>
                <w:szCs w:val="20"/>
              </w:rPr>
              <w:t>-28%</w:t>
            </w:r>
          </w:p>
        </w:tc>
      </w:tr>
      <w:tr w:rsidR="009717CD" w:rsidRPr="002E77DC" w14:paraId="56619041" w14:textId="77777777" w:rsidTr="00C54400">
        <w:trPr>
          <w:trHeight w:val="332"/>
        </w:trPr>
        <w:tc>
          <w:tcPr>
            <w:tcW w:w="3402" w:type="dxa"/>
            <w:vAlign w:val="bottom"/>
          </w:tcPr>
          <w:p w14:paraId="70204439" w14:textId="77777777" w:rsidR="009717CD" w:rsidRPr="002E77DC" w:rsidRDefault="009717CD" w:rsidP="009717CD">
            <w:pPr>
              <w:jc w:val="right"/>
              <w:rPr>
                <w:color w:val="000000"/>
                <w:sz w:val="20"/>
                <w:szCs w:val="20"/>
              </w:rPr>
            </w:pPr>
            <w:r w:rsidRPr="002E77DC">
              <w:rPr>
                <w:color w:val="000000"/>
                <w:sz w:val="20"/>
                <w:szCs w:val="20"/>
              </w:rPr>
              <w:t>Pārējā teritoriju un mājokļu apsaimniekošanas darbība</w:t>
            </w:r>
          </w:p>
        </w:tc>
        <w:tc>
          <w:tcPr>
            <w:tcW w:w="1985" w:type="dxa"/>
            <w:tcBorders>
              <w:top w:val="nil"/>
              <w:left w:val="single" w:sz="4" w:space="0" w:color="auto"/>
              <w:bottom w:val="single" w:sz="4" w:space="0" w:color="auto"/>
              <w:right w:val="single" w:sz="4" w:space="0" w:color="auto"/>
            </w:tcBorders>
            <w:vAlign w:val="center"/>
          </w:tcPr>
          <w:p w14:paraId="20E62C8E" w14:textId="69EFD0D9" w:rsidR="009717CD" w:rsidRPr="009717CD" w:rsidRDefault="009717CD" w:rsidP="009717CD">
            <w:pPr>
              <w:jc w:val="right"/>
              <w:rPr>
                <w:sz w:val="20"/>
                <w:szCs w:val="20"/>
              </w:rPr>
            </w:pPr>
            <w:r w:rsidRPr="009717CD">
              <w:rPr>
                <w:color w:val="000000"/>
                <w:sz w:val="20"/>
                <w:szCs w:val="20"/>
              </w:rPr>
              <w:t>3 514 658</w:t>
            </w:r>
          </w:p>
        </w:tc>
        <w:tc>
          <w:tcPr>
            <w:tcW w:w="2126" w:type="dxa"/>
            <w:tcBorders>
              <w:top w:val="nil"/>
              <w:left w:val="nil"/>
              <w:bottom w:val="single" w:sz="4" w:space="0" w:color="auto"/>
              <w:right w:val="single" w:sz="4" w:space="0" w:color="auto"/>
            </w:tcBorders>
            <w:vAlign w:val="center"/>
          </w:tcPr>
          <w:p w14:paraId="39480227" w14:textId="22671787" w:rsidR="009717CD" w:rsidRPr="009717CD" w:rsidRDefault="009717CD" w:rsidP="009717CD">
            <w:pPr>
              <w:jc w:val="right"/>
              <w:rPr>
                <w:sz w:val="20"/>
                <w:szCs w:val="20"/>
              </w:rPr>
            </w:pPr>
            <w:r w:rsidRPr="009717CD">
              <w:rPr>
                <w:color w:val="000000"/>
                <w:sz w:val="20"/>
                <w:szCs w:val="20"/>
              </w:rPr>
              <w:t>4 415 205</w:t>
            </w:r>
          </w:p>
        </w:tc>
        <w:tc>
          <w:tcPr>
            <w:tcW w:w="1843" w:type="dxa"/>
            <w:tcBorders>
              <w:top w:val="nil"/>
              <w:left w:val="nil"/>
              <w:bottom w:val="single" w:sz="4" w:space="0" w:color="auto"/>
              <w:right w:val="single" w:sz="4" w:space="0" w:color="auto"/>
            </w:tcBorders>
            <w:vAlign w:val="center"/>
          </w:tcPr>
          <w:p w14:paraId="1A875F59" w14:textId="226E1872" w:rsidR="009717CD" w:rsidRPr="009717CD" w:rsidRDefault="009717CD" w:rsidP="009717CD">
            <w:pPr>
              <w:jc w:val="right"/>
              <w:rPr>
                <w:sz w:val="20"/>
                <w:szCs w:val="20"/>
              </w:rPr>
            </w:pPr>
            <w:r w:rsidRPr="009717CD">
              <w:rPr>
                <w:color w:val="000000"/>
                <w:sz w:val="20"/>
                <w:szCs w:val="20"/>
              </w:rPr>
              <w:t>26%</w:t>
            </w:r>
          </w:p>
        </w:tc>
      </w:tr>
    </w:tbl>
    <w:p w14:paraId="77E7ECEB" w14:textId="77777777" w:rsidR="006E210F" w:rsidRPr="002E77DC" w:rsidRDefault="006E210F" w:rsidP="006E210F">
      <w:pPr>
        <w:spacing w:line="360" w:lineRule="auto"/>
        <w:ind w:firstLine="840"/>
      </w:pPr>
    </w:p>
    <w:p w14:paraId="1778F560" w14:textId="60903E57" w:rsidR="006E210F" w:rsidRPr="00156918" w:rsidRDefault="006E210F" w:rsidP="006E210F">
      <w:pPr>
        <w:spacing w:line="360" w:lineRule="auto"/>
        <w:ind w:firstLine="840"/>
        <w:jc w:val="both"/>
      </w:pPr>
      <w:r>
        <w:t xml:space="preserve">Mājokļu attīstības sadaļā ievērojamu izdevumu daļa sastāda pašvaldības neizīrēto dzīvokļu uzturēšana. Dzīvojamā fonda uzlabošanai paredzētas izmaksas ERAF līdzfinansētos projektos sociālo mājokļu atjaunošanai </w:t>
      </w:r>
      <w:r w:rsidR="00BA1254" w:rsidRPr="00BA1254">
        <w:t>90</w:t>
      </w:r>
      <w:r w:rsidR="00BA1254">
        <w:t> </w:t>
      </w:r>
      <w:r w:rsidR="00BA1254" w:rsidRPr="00BA1254">
        <w:t>000</w:t>
      </w:r>
      <w:r w:rsidR="00BA1254">
        <w:t xml:space="preserve"> </w:t>
      </w:r>
      <w:r>
        <w:t xml:space="preserve">EUR. </w:t>
      </w:r>
      <w:r w:rsidRPr="002E77DC">
        <w:t xml:space="preserve">Lielākais izmaksu pieaugums plānots </w:t>
      </w:r>
      <w:r w:rsidR="004657F7">
        <w:t>projektam “</w:t>
      </w:r>
      <w:r w:rsidR="002C03A4" w:rsidRPr="002C03A4">
        <w:t>Uzņēmējdarbībai nepieciešamās infrastruktūras attīstība</w:t>
      </w:r>
      <w:r w:rsidR="002C03A4">
        <w:t xml:space="preserve">” - </w:t>
      </w:r>
      <w:r w:rsidR="002C03A4" w:rsidRPr="002C03A4">
        <w:t>2 099</w:t>
      </w:r>
      <w:r w:rsidR="002C03A4">
        <w:t> </w:t>
      </w:r>
      <w:r w:rsidR="002C03A4" w:rsidRPr="002C03A4">
        <w:t>488</w:t>
      </w:r>
      <w:r w:rsidR="002C03A4">
        <w:t xml:space="preserve"> EUR.</w:t>
      </w:r>
      <w:r w:rsidRPr="002F34C1">
        <w:t xml:space="preserve"> </w:t>
      </w:r>
      <w:r w:rsidR="002C03A4">
        <w:t>Iepriekšējā gada īstenotais proj</w:t>
      </w:r>
      <w:r w:rsidR="00093D41">
        <w:t xml:space="preserve">ekts </w:t>
      </w:r>
      <w:r>
        <w:t xml:space="preserve"> i</w:t>
      </w:r>
      <w:r w:rsidRPr="00DC1338">
        <w:t>elu apgaismojuma gaismekļu nomaiņ</w:t>
      </w:r>
      <w:r>
        <w:t>u</w:t>
      </w:r>
      <w:r w:rsidR="00093D41">
        <w:t xml:space="preserve"> ļauj šajā  gadā paredzēt </w:t>
      </w:r>
      <w:r w:rsidR="00515CF4">
        <w:t xml:space="preserve">līdzekļus </w:t>
      </w:r>
      <w:r w:rsidR="003777F3">
        <w:t>396</w:t>
      </w:r>
      <w:r w:rsidR="005F5F53">
        <w:t xml:space="preserve"> </w:t>
      </w:r>
      <w:r w:rsidR="003777F3">
        <w:t>600</w:t>
      </w:r>
      <w:r>
        <w:t xml:space="preserve"> EUR apmērā</w:t>
      </w:r>
      <w:r w:rsidR="003777F3">
        <w:t>, kas ir par 28 % mazāk kā gadu iepriekš</w:t>
      </w:r>
      <w:r w:rsidR="000D2C34">
        <w:t xml:space="preserve">, </w:t>
      </w:r>
      <w:r w:rsidR="00E7031D">
        <w:t xml:space="preserve">tomēr </w:t>
      </w:r>
      <w:r w:rsidR="00A33532">
        <w:t>apgaismojuma uzturēšanas izmaksas plānotas par 11% vairāk kā gadu iepr</w:t>
      </w:r>
      <w:r w:rsidR="00F85B9A">
        <w:t xml:space="preserve">iekš. </w:t>
      </w:r>
      <w:r>
        <w:t>Finansējums paredzēts pašvaldības teritorijas sakopšanai, kapsētu uzturēšanai, kā arī ū</w:t>
      </w:r>
      <w:r w:rsidRPr="00156918">
        <w:t>dens un kanalizācijas pieslē</w:t>
      </w:r>
      <w:r>
        <w:t>g</w:t>
      </w:r>
      <w:r w:rsidRPr="00156918">
        <w:t xml:space="preserve">umu izveides līdzfinansēšanas </w:t>
      </w:r>
      <w:r w:rsidRPr="00156918">
        <w:lastRenderedPageBreak/>
        <w:t>programma</w:t>
      </w:r>
      <w:r>
        <w:t xml:space="preserve">i </w:t>
      </w:r>
      <w:r w:rsidR="00767601">
        <w:t>75</w:t>
      </w:r>
      <w:r>
        <w:t> </w:t>
      </w:r>
      <w:r w:rsidRPr="005B5993">
        <w:t>000</w:t>
      </w:r>
      <w:r>
        <w:t xml:space="preserve"> EUR, d</w:t>
      </w:r>
      <w:r w:rsidRPr="00156918">
        <w:t>audzdzīvokļu dzīvojamo māju piesaistīto zemesgabalu labiekārtošanas konkurs</w:t>
      </w:r>
      <w:r>
        <w:t xml:space="preserve">am </w:t>
      </w:r>
      <w:r w:rsidRPr="005B5993">
        <w:t>6</w:t>
      </w:r>
      <w:r w:rsidR="006E4180">
        <w:t>6</w:t>
      </w:r>
      <w:r>
        <w:t> </w:t>
      </w:r>
      <w:r w:rsidR="006E4180">
        <w:t>873</w:t>
      </w:r>
      <w:r>
        <w:t xml:space="preserve"> EUR, v</w:t>
      </w:r>
      <w:r w:rsidRPr="00156918">
        <w:t>ēsturiskās apbūves atjaunošanas līdzfinansējuma programma</w:t>
      </w:r>
      <w:r>
        <w:t>i 5</w:t>
      </w:r>
      <w:r w:rsidRPr="005B5993">
        <w:t>0</w:t>
      </w:r>
      <w:r>
        <w:t> </w:t>
      </w:r>
      <w:r w:rsidRPr="005B5993">
        <w:t>000</w:t>
      </w:r>
      <w:r>
        <w:t xml:space="preserve"> EUR, t</w:t>
      </w:r>
      <w:r w:rsidRPr="00156918">
        <w:t>ehniskās dokumentācijas izstrāde</w:t>
      </w:r>
      <w:r>
        <w:t xml:space="preserve">i </w:t>
      </w:r>
      <w:r w:rsidRPr="00156918">
        <w:t>pašvaldības infrast</w:t>
      </w:r>
      <w:r>
        <w:t>r</w:t>
      </w:r>
      <w:r w:rsidRPr="00156918">
        <w:t>uktūras atjaunošanai, uzlabošanai, modernizēšanai</w:t>
      </w:r>
      <w:r>
        <w:t xml:space="preserve"> - 7</w:t>
      </w:r>
      <w:r w:rsidRPr="005B5993">
        <w:t>0</w:t>
      </w:r>
      <w:r>
        <w:t> </w:t>
      </w:r>
      <w:r w:rsidRPr="005B5993">
        <w:t>000</w:t>
      </w:r>
      <w:r>
        <w:t xml:space="preserve"> EUR.</w:t>
      </w:r>
    </w:p>
    <w:p w14:paraId="166A1D0C" w14:textId="3869023A" w:rsidR="006E210F" w:rsidRDefault="006E210F" w:rsidP="006E210F">
      <w:pPr>
        <w:spacing w:line="360" w:lineRule="auto"/>
        <w:ind w:firstLine="840"/>
        <w:jc w:val="both"/>
      </w:pPr>
      <w:r w:rsidRPr="002E77DC">
        <w:t>Veselības aprūpei atvēlēts</w:t>
      </w:r>
      <w:r>
        <w:t xml:space="preserve"> vismazāk</w:t>
      </w:r>
      <w:r w:rsidRPr="002E77DC">
        <w:t xml:space="preserve"> </w:t>
      </w:r>
      <w:r>
        <w:t>1,</w:t>
      </w:r>
      <w:r w:rsidR="003E5595">
        <w:t>2</w:t>
      </w:r>
      <w:r w:rsidRPr="002E77DC">
        <w:t xml:space="preserve">% no </w:t>
      </w:r>
      <w:r>
        <w:t>pamat</w:t>
      </w:r>
      <w:r w:rsidRPr="002E77DC">
        <w:t>budžeta</w:t>
      </w:r>
      <w:r>
        <w:t xml:space="preserve"> izdevumiem</w:t>
      </w:r>
      <w:r w:rsidRPr="002E77DC">
        <w:t xml:space="preserve">, t.i., </w:t>
      </w:r>
      <w:r w:rsidR="003E5595" w:rsidRPr="003E5595">
        <w:t>917</w:t>
      </w:r>
      <w:r w:rsidR="003E5595">
        <w:t> </w:t>
      </w:r>
      <w:r w:rsidR="003E5595" w:rsidRPr="003E5595">
        <w:t>130</w:t>
      </w:r>
      <w:r w:rsidR="003E5595">
        <w:t xml:space="preserve"> </w:t>
      </w:r>
      <w:r w:rsidRPr="002E77DC">
        <w:t xml:space="preserve">EUR, </w:t>
      </w:r>
      <w:r w:rsidR="008E7D64">
        <w:t>bet</w:t>
      </w:r>
      <w:r w:rsidRPr="002E77DC">
        <w:t xml:space="preserve">  pret  iepriekšēj</w:t>
      </w:r>
      <w:r>
        <w:t>ā</w:t>
      </w:r>
      <w:r w:rsidRPr="002E77DC">
        <w:t xml:space="preserve"> gad</w:t>
      </w:r>
      <w:r>
        <w:t>a izpildi</w:t>
      </w:r>
      <w:r w:rsidRPr="002E77DC">
        <w:t xml:space="preserve"> plānots </w:t>
      </w:r>
      <w:r w:rsidR="005A524D">
        <w:t>1</w:t>
      </w:r>
      <w:r w:rsidR="00BA3240">
        <w:t>4</w:t>
      </w:r>
      <w:r w:rsidRPr="002E77DC">
        <w:t xml:space="preserve">% pieaugums. </w:t>
      </w:r>
    </w:p>
    <w:p w14:paraId="7FE91F89" w14:textId="56EAD4EC" w:rsidR="006E210F" w:rsidRDefault="006E210F" w:rsidP="006E210F">
      <w:pPr>
        <w:spacing w:line="360" w:lineRule="auto"/>
        <w:ind w:firstLine="840"/>
        <w:jc w:val="both"/>
      </w:pPr>
      <w:r w:rsidRPr="002E77DC">
        <w:t xml:space="preserve">Budžetā atpūtai, sportam un kultūrai paredzēts izlietots </w:t>
      </w:r>
      <w:r>
        <w:t>8,</w:t>
      </w:r>
      <w:r w:rsidR="00BA3240">
        <w:t>1</w:t>
      </w:r>
      <w:r>
        <w:t xml:space="preserve"> </w:t>
      </w:r>
      <w:r w:rsidRPr="002E77DC">
        <w:t>% no pamatbudžeta</w:t>
      </w:r>
      <w:r>
        <w:t xml:space="preserve"> kopējiem izdevumiem</w:t>
      </w:r>
      <w:r w:rsidRPr="002E77DC">
        <w:t xml:space="preserve">, t.i., </w:t>
      </w:r>
      <w:r w:rsidR="00BA3240" w:rsidRPr="00BA3240">
        <w:t>6 036 976</w:t>
      </w:r>
      <w:r w:rsidR="00BA3240">
        <w:t xml:space="preserve"> </w:t>
      </w:r>
      <w:r w:rsidRPr="002E77DC">
        <w:t>EUR, kas ir</w:t>
      </w:r>
      <w:r w:rsidR="0041649C">
        <w:t xml:space="preserve"> par </w:t>
      </w:r>
      <w:r w:rsidR="00A80E67">
        <w:t>12% vairāk kā iztērēts iepriekšējā gadā.</w:t>
      </w:r>
      <w:r w:rsidRPr="002E77DC">
        <w:t xml:space="preserve"> </w:t>
      </w:r>
    </w:p>
    <w:tbl>
      <w:tblPr>
        <w:tblStyle w:val="Reatabula"/>
        <w:tblW w:w="0" w:type="auto"/>
        <w:jc w:val="center"/>
        <w:tblLook w:val="04A0" w:firstRow="1" w:lastRow="0" w:firstColumn="1" w:lastColumn="0" w:noHBand="0" w:noVBand="1"/>
      </w:tblPr>
      <w:tblGrid>
        <w:gridCol w:w="3256"/>
        <w:gridCol w:w="1701"/>
        <w:gridCol w:w="2268"/>
        <w:gridCol w:w="1984"/>
      </w:tblGrid>
      <w:tr w:rsidR="006E210F" w:rsidRPr="002E77DC" w14:paraId="765FCBF9" w14:textId="77777777" w:rsidTr="00413DCC">
        <w:trPr>
          <w:trHeight w:val="841"/>
          <w:jc w:val="center"/>
        </w:trPr>
        <w:tc>
          <w:tcPr>
            <w:tcW w:w="3256" w:type="dxa"/>
            <w:vAlign w:val="center"/>
          </w:tcPr>
          <w:p w14:paraId="2D6BC43B" w14:textId="77777777" w:rsidR="006E210F" w:rsidRPr="002E77DC" w:rsidRDefault="006E210F" w:rsidP="00183521">
            <w:pPr>
              <w:spacing w:line="360" w:lineRule="auto"/>
              <w:jc w:val="center"/>
              <w:outlineLvl w:val="0"/>
            </w:pPr>
            <w:r w:rsidRPr="002E77DC">
              <w:t>Atpūtas</w:t>
            </w:r>
            <w:r>
              <w:t>, sporta</w:t>
            </w:r>
            <w:r w:rsidRPr="002E77DC">
              <w:t xml:space="preserve"> un kultūras pasākumi</w:t>
            </w:r>
          </w:p>
        </w:tc>
        <w:tc>
          <w:tcPr>
            <w:tcW w:w="1701" w:type="dxa"/>
          </w:tcPr>
          <w:p w14:paraId="1A53CFD9" w14:textId="69535102" w:rsidR="006E210F" w:rsidRPr="002E77DC" w:rsidRDefault="006E210F" w:rsidP="00183521">
            <w:pPr>
              <w:jc w:val="center"/>
            </w:pPr>
            <w:r w:rsidRPr="002E77DC">
              <w:t>202</w:t>
            </w:r>
            <w:r w:rsidR="00F76DC8">
              <w:t>5</w:t>
            </w:r>
            <w:r w:rsidRPr="002E77DC">
              <w:t>.gada izpilde</w:t>
            </w:r>
            <w:r>
              <w:t xml:space="preserve"> EUR</w:t>
            </w:r>
          </w:p>
        </w:tc>
        <w:tc>
          <w:tcPr>
            <w:tcW w:w="2268" w:type="dxa"/>
          </w:tcPr>
          <w:p w14:paraId="1C596517" w14:textId="0C879102" w:rsidR="006E210F" w:rsidRPr="002E77DC" w:rsidRDefault="006E210F" w:rsidP="00183521">
            <w:pPr>
              <w:jc w:val="center"/>
            </w:pPr>
            <w:r w:rsidRPr="002E77DC">
              <w:t>202</w:t>
            </w:r>
            <w:r w:rsidR="00F76DC8">
              <w:t>6</w:t>
            </w:r>
            <w:r w:rsidRPr="002E77DC">
              <w:t>.gada budžeta prognoze</w:t>
            </w:r>
            <w:r>
              <w:t xml:space="preserve"> EUR</w:t>
            </w:r>
          </w:p>
        </w:tc>
        <w:tc>
          <w:tcPr>
            <w:tcW w:w="1984" w:type="dxa"/>
            <w:vAlign w:val="center"/>
          </w:tcPr>
          <w:p w14:paraId="2C87F21B" w14:textId="77777777" w:rsidR="006E210F" w:rsidRPr="002E77DC" w:rsidRDefault="006E210F" w:rsidP="00183521">
            <w:pPr>
              <w:jc w:val="center"/>
            </w:pPr>
            <w:r w:rsidRPr="002E77DC">
              <w:t>Salīdzinājums</w:t>
            </w:r>
          </w:p>
        </w:tc>
      </w:tr>
      <w:tr w:rsidR="00F76DC8" w:rsidRPr="002E77DC" w14:paraId="411A9B79" w14:textId="77777777" w:rsidTr="00413DCC">
        <w:trPr>
          <w:trHeight w:val="280"/>
          <w:jc w:val="center"/>
        </w:trPr>
        <w:tc>
          <w:tcPr>
            <w:tcW w:w="3256" w:type="dxa"/>
            <w:vAlign w:val="center"/>
          </w:tcPr>
          <w:p w14:paraId="54210B50" w14:textId="77777777" w:rsidR="00F76DC8" w:rsidRPr="002E77DC" w:rsidRDefault="00F76DC8" w:rsidP="00F76DC8">
            <w:pPr>
              <w:jc w:val="right"/>
            </w:pPr>
            <w:r w:rsidRPr="002E77DC">
              <w:t>Kopā:</w:t>
            </w:r>
          </w:p>
        </w:tc>
        <w:tc>
          <w:tcPr>
            <w:tcW w:w="1701" w:type="dxa"/>
            <w:tcBorders>
              <w:top w:val="single" w:sz="4" w:space="0" w:color="auto"/>
              <w:left w:val="single" w:sz="4" w:space="0" w:color="auto"/>
              <w:bottom w:val="single" w:sz="4" w:space="0" w:color="auto"/>
              <w:right w:val="single" w:sz="4" w:space="0" w:color="auto"/>
            </w:tcBorders>
            <w:shd w:val="clear" w:color="000000" w:fill="F2F2F2"/>
            <w:vAlign w:val="center"/>
          </w:tcPr>
          <w:p w14:paraId="12BBDFA5" w14:textId="6BF8724D" w:rsidR="00F76DC8" w:rsidRPr="00413DCC" w:rsidRDefault="00F76DC8" w:rsidP="00F76DC8">
            <w:pPr>
              <w:jc w:val="center"/>
            </w:pPr>
            <w:r w:rsidRPr="00413DCC">
              <w:rPr>
                <w:color w:val="000000"/>
              </w:rPr>
              <w:t>5 394 477</w:t>
            </w:r>
          </w:p>
        </w:tc>
        <w:tc>
          <w:tcPr>
            <w:tcW w:w="2268" w:type="dxa"/>
            <w:tcBorders>
              <w:top w:val="single" w:sz="4" w:space="0" w:color="auto"/>
              <w:left w:val="nil"/>
              <w:bottom w:val="single" w:sz="4" w:space="0" w:color="auto"/>
              <w:right w:val="single" w:sz="4" w:space="0" w:color="auto"/>
            </w:tcBorders>
            <w:shd w:val="clear" w:color="000000" w:fill="F2F2F2"/>
            <w:vAlign w:val="center"/>
          </w:tcPr>
          <w:p w14:paraId="4C7F7FC7" w14:textId="5667C318" w:rsidR="00F76DC8" w:rsidRPr="00413DCC" w:rsidRDefault="00F76DC8" w:rsidP="00F76DC8">
            <w:pPr>
              <w:jc w:val="center"/>
            </w:pPr>
            <w:r w:rsidRPr="00413DCC">
              <w:rPr>
                <w:color w:val="000000"/>
              </w:rPr>
              <w:t>6 036 976</w:t>
            </w:r>
          </w:p>
        </w:tc>
        <w:tc>
          <w:tcPr>
            <w:tcW w:w="1984" w:type="dxa"/>
            <w:tcBorders>
              <w:top w:val="single" w:sz="4" w:space="0" w:color="auto"/>
              <w:left w:val="nil"/>
              <w:bottom w:val="single" w:sz="4" w:space="0" w:color="auto"/>
              <w:right w:val="single" w:sz="4" w:space="0" w:color="auto"/>
            </w:tcBorders>
            <w:shd w:val="clear" w:color="000000" w:fill="F2F2F2"/>
            <w:vAlign w:val="center"/>
          </w:tcPr>
          <w:p w14:paraId="5255D008" w14:textId="54173AD9" w:rsidR="00F76DC8" w:rsidRPr="00413DCC" w:rsidRDefault="00F76DC8" w:rsidP="00F76DC8">
            <w:pPr>
              <w:spacing w:line="360" w:lineRule="auto"/>
              <w:jc w:val="center"/>
            </w:pPr>
            <w:r w:rsidRPr="00413DCC">
              <w:rPr>
                <w:color w:val="000000"/>
              </w:rPr>
              <w:t>12%</w:t>
            </w:r>
          </w:p>
        </w:tc>
      </w:tr>
      <w:tr w:rsidR="00413DCC" w:rsidRPr="002E77DC" w14:paraId="6825C44A" w14:textId="77777777" w:rsidTr="00413DCC">
        <w:trPr>
          <w:trHeight w:val="332"/>
          <w:jc w:val="center"/>
        </w:trPr>
        <w:tc>
          <w:tcPr>
            <w:tcW w:w="3256" w:type="dxa"/>
            <w:vAlign w:val="bottom"/>
          </w:tcPr>
          <w:p w14:paraId="34CB3F42" w14:textId="77777777" w:rsidR="00413DCC" w:rsidRPr="002E77DC" w:rsidRDefault="00413DCC" w:rsidP="00413DCC">
            <w:pPr>
              <w:jc w:val="right"/>
              <w:rPr>
                <w:color w:val="000000"/>
                <w:sz w:val="20"/>
                <w:szCs w:val="20"/>
              </w:rPr>
            </w:pPr>
            <w:r>
              <w:rPr>
                <w:color w:val="000000"/>
                <w:sz w:val="20"/>
                <w:szCs w:val="20"/>
              </w:rPr>
              <w:t>Kultūras pārvalde</w:t>
            </w:r>
          </w:p>
        </w:tc>
        <w:tc>
          <w:tcPr>
            <w:tcW w:w="1701" w:type="dxa"/>
          </w:tcPr>
          <w:p w14:paraId="744699B2" w14:textId="67468E5F" w:rsidR="00413DCC" w:rsidRPr="00413DCC" w:rsidRDefault="00413DCC" w:rsidP="00413DCC">
            <w:pPr>
              <w:jc w:val="right"/>
              <w:rPr>
                <w:sz w:val="20"/>
                <w:szCs w:val="20"/>
              </w:rPr>
            </w:pPr>
            <w:r w:rsidRPr="00413DCC">
              <w:rPr>
                <w:sz w:val="20"/>
                <w:szCs w:val="20"/>
              </w:rPr>
              <w:t>164 084</w:t>
            </w:r>
          </w:p>
        </w:tc>
        <w:tc>
          <w:tcPr>
            <w:tcW w:w="2268" w:type="dxa"/>
          </w:tcPr>
          <w:p w14:paraId="53832FE2" w14:textId="1B286B13" w:rsidR="00413DCC" w:rsidRPr="00413DCC" w:rsidRDefault="00413DCC" w:rsidP="00413DCC">
            <w:pPr>
              <w:jc w:val="right"/>
              <w:rPr>
                <w:sz w:val="20"/>
                <w:szCs w:val="20"/>
              </w:rPr>
            </w:pPr>
            <w:r w:rsidRPr="00413DCC">
              <w:rPr>
                <w:sz w:val="20"/>
                <w:szCs w:val="20"/>
              </w:rPr>
              <w:t>218 700</w:t>
            </w:r>
          </w:p>
        </w:tc>
        <w:tc>
          <w:tcPr>
            <w:tcW w:w="1984" w:type="dxa"/>
          </w:tcPr>
          <w:p w14:paraId="6AD0D26E" w14:textId="3D38BA6E" w:rsidR="00413DCC" w:rsidRPr="00413DCC" w:rsidRDefault="00413DCC" w:rsidP="00413DCC">
            <w:pPr>
              <w:jc w:val="right"/>
              <w:rPr>
                <w:color w:val="000000"/>
                <w:sz w:val="20"/>
                <w:szCs w:val="20"/>
              </w:rPr>
            </w:pPr>
            <w:r w:rsidRPr="00413DCC">
              <w:rPr>
                <w:sz w:val="20"/>
                <w:szCs w:val="20"/>
              </w:rPr>
              <w:t>33%</w:t>
            </w:r>
          </w:p>
        </w:tc>
      </w:tr>
      <w:tr w:rsidR="00413DCC" w:rsidRPr="002E77DC" w14:paraId="5BAC67F7" w14:textId="77777777" w:rsidTr="00413DCC">
        <w:trPr>
          <w:trHeight w:val="332"/>
          <w:jc w:val="center"/>
        </w:trPr>
        <w:tc>
          <w:tcPr>
            <w:tcW w:w="3256" w:type="dxa"/>
            <w:vAlign w:val="bottom"/>
          </w:tcPr>
          <w:p w14:paraId="0BE82E51" w14:textId="77777777" w:rsidR="00413DCC" w:rsidRPr="002E77DC" w:rsidRDefault="00413DCC" w:rsidP="00413DCC">
            <w:pPr>
              <w:jc w:val="right"/>
              <w:rPr>
                <w:color w:val="000000"/>
                <w:sz w:val="20"/>
                <w:szCs w:val="20"/>
              </w:rPr>
            </w:pPr>
            <w:r w:rsidRPr="002E77DC">
              <w:rPr>
                <w:color w:val="000000"/>
                <w:sz w:val="20"/>
                <w:szCs w:val="20"/>
              </w:rPr>
              <w:t xml:space="preserve">Bibliotēkas </w:t>
            </w:r>
          </w:p>
        </w:tc>
        <w:tc>
          <w:tcPr>
            <w:tcW w:w="1701" w:type="dxa"/>
          </w:tcPr>
          <w:p w14:paraId="65458E53" w14:textId="04FA9B6E" w:rsidR="00413DCC" w:rsidRPr="00413DCC" w:rsidRDefault="00413DCC" w:rsidP="00413DCC">
            <w:pPr>
              <w:jc w:val="right"/>
              <w:rPr>
                <w:sz w:val="20"/>
                <w:szCs w:val="20"/>
              </w:rPr>
            </w:pPr>
            <w:r w:rsidRPr="00413DCC">
              <w:rPr>
                <w:sz w:val="20"/>
                <w:szCs w:val="20"/>
              </w:rPr>
              <w:t>831 388</w:t>
            </w:r>
          </w:p>
        </w:tc>
        <w:tc>
          <w:tcPr>
            <w:tcW w:w="2268" w:type="dxa"/>
          </w:tcPr>
          <w:p w14:paraId="3871E922" w14:textId="5AA82E95" w:rsidR="00413DCC" w:rsidRPr="00413DCC" w:rsidRDefault="00413DCC" w:rsidP="00413DCC">
            <w:pPr>
              <w:jc w:val="right"/>
              <w:rPr>
                <w:sz w:val="20"/>
                <w:szCs w:val="20"/>
              </w:rPr>
            </w:pPr>
            <w:r w:rsidRPr="00413DCC">
              <w:rPr>
                <w:sz w:val="20"/>
                <w:szCs w:val="20"/>
              </w:rPr>
              <w:t>912 006</w:t>
            </w:r>
          </w:p>
        </w:tc>
        <w:tc>
          <w:tcPr>
            <w:tcW w:w="1984" w:type="dxa"/>
          </w:tcPr>
          <w:p w14:paraId="0509952C" w14:textId="5E49BD7B" w:rsidR="00413DCC" w:rsidRPr="00413DCC" w:rsidRDefault="00413DCC" w:rsidP="00413DCC">
            <w:pPr>
              <w:jc w:val="right"/>
              <w:rPr>
                <w:color w:val="000000"/>
                <w:sz w:val="20"/>
                <w:szCs w:val="20"/>
              </w:rPr>
            </w:pPr>
            <w:r w:rsidRPr="00413DCC">
              <w:rPr>
                <w:sz w:val="20"/>
                <w:szCs w:val="20"/>
              </w:rPr>
              <w:t>10%</w:t>
            </w:r>
          </w:p>
        </w:tc>
      </w:tr>
      <w:tr w:rsidR="00413DCC" w:rsidRPr="002E77DC" w14:paraId="14073F1C" w14:textId="77777777" w:rsidTr="00413DCC">
        <w:trPr>
          <w:trHeight w:val="332"/>
          <w:jc w:val="center"/>
        </w:trPr>
        <w:tc>
          <w:tcPr>
            <w:tcW w:w="3256" w:type="dxa"/>
            <w:vAlign w:val="bottom"/>
          </w:tcPr>
          <w:p w14:paraId="001D444E" w14:textId="77777777" w:rsidR="00413DCC" w:rsidRPr="002E77DC" w:rsidRDefault="00413DCC" w:rsidP="00413DCC">
            <w:pPr>
              <w:jc w:val="right"/>
              <w:rPr>
                <w:color w:val="000000"/>
                <w:sz w:val="20"/>
                <w:szCs w:val="20"/>
              </w:rPr>
            </w:pPr>
            <w:r w:rsidRPr="002E77DC">
              <w:rPr>
                <w:color w:val="000000"/>
                <w:sz w:val="20"/>
                <w:szCs w:val="20"/>
              </w:rPr>
              <w:t>Muzeji</w:t>
            </w:r>
            <w:r>
              <w:rPr>
                <w:color w:val="000000"/>
                <w:sz w:val="20"/>
                <w:szCs w:val="20"/>
              </w:rPr>
              <w:t xml:space="preserve"> un senlietu krātuves </w:t>
            </w:r>
          </w:p>
        </w:tc>
        <w:tc>
          <w:tcPr>
            <w:tcW w:w="1701" w:type="dxa"/>
          </w:tcPr>
          <w:p w14:paraId="7DD20214" w14:textId="19CF8E73" w:rsidR="00413DCC" w:rsidRPr="00413DCC" w:rsidRDefault="00413DCC" w:rsidP="00413DCC">
            <w:pPr>
              <w:jc w:val="right"/>
              <w:rPr>
                <w:sz w:val="20"/>
                <w:szCs w:val="20"/>
              </w:rPr>
            </w:pPr>
            <w:r w:rsidRPr="00413DCC">
              <w:rPr>
                <w:sz w:val="20"/>
                <w:szCs w:val="20"/>
              </w:rPr>
              <w:t>529 529</w:t>
            </w:r>
          </w:p>
        </w:tc>
        <w:tc>
          <w:tcPr>
            <w:tcW w:w="2268" w:type="dxa"/>
          </w:tcPr>
          <w:p w14:paraId="7CA6BDBD" w14:textId="5BB51852" w:rsidR="00413DCC" w:rsidRPr="00413DCC" w:rsidRDefault="00413DCC" w:rsidP="00413DCC">
            <w:pPr>
              <w:jc w:val="right"/>
              <w:rPr>
                <w:sz w:val="20"/>
                <w:szCs w:val="20"/>
              </w:rPr>
            </w:pPr>
            <w:r w:rsidRPr="00413DCC">
              <w:rPr>
                <w:sz w:val="20"/>
                <w:szCs w:val="20"/>
              </w:rPr>
              <w:t>584 787</w:t>
            </w:r>
          </w:p>
        </w:tc>
        <w:tc>
          <w:tcPr>
            <w:tcW w:w="1984" w:type="dxa"/>
          </w:tcPr>
          <w:p w14:paraId="23C9E948" w14:textId="4EF26C86" w:rsidR="00413DCC" w:rsidRPr="00413DCC" w:rsidRDefault="00413DCC" w:rsidP="00413DCC">
            <w:pPr>
              <w:jc w:val="right"/>
              <w:rPr>
                <w:color w:val="000000"/>
                <w:sz w:val="20"/>
                <w:szCs w:val="20"/>
              </w:rPr>
            </w:pPr>
            <w:r w:rsidRPr="00413DCC">
              <w:rPr>
                <w:sz w:val="20"/>
                <w:szCs w:val="20"/>
              </w:rPr>
              <w:t>10%</w:t>
            </w:r>
          </w:p>
        </w:tc>
      </w:tr>
      <w:tr w:rsidR="00413DCC" w:rsidRPr="002E77DC" w14:paraId="3793B752" w14:textId="77777777" w:rsidTr="00413DCC">
        <w:trPr>
          <w:trHeight w:val="332"/>
          <w:jc w:val="center"/>
        </w:trPr>
        <w:tc>
          <w:tcPr>
            <w:tcW w:w="3256" w:type="dxa"/>
            <w:vAlign w:val="bottom"/>
          </w:tcPr>
          <w:p w14:paraId="750CC160" w14:textId="77777777" w:rsidR="00413DCC" w:rsidRPr="002E77DC" w:rsidRDefault="00413DCC" w:rsidP="00413DCC">
            <w:pPr>
              <w:jc w:val="right"/>
              <w:rPr>
                <w:color w:val="000000"/>
                <w:sz w:val="20"/>
                <w:szCs w:val="20"/>
              </w:rPr>
            </w:pPr>
            <w:r w:rsidRPr="002E77DC">
              <w:rPr>
                <w:color w:val="000000"/>
                <w:sz w:val="20"/>
                <w:szCs w:val="20"/>
              </w:rPr>
              <w:t xml:space="preserve">Kultūras </w:t>
            </w:r>
            <w:r>
              <w:rPr>
                <w:color w:val="000000"/>
                <w:sz w:val="20"/>
                <w:szCs w:val="20"/>
              </w:rPr>
              <w:t xml:space="preserve">centri </w:t>
            </w:r>
            <w:r w:rsidRPr="002E77DC">
              <w:rPr>
                <w:color w:val="000000"/>
                <w:sz w:val="20"/>
                <w:szCs w:val="20"/>
              </w:rPr>
              <w:t>un saieta nami</w:t>
            </w:r>
          </w:p>
        </w:tc>
        <w:tc>
          <w:tcPr>
            <w:tcW w:w="1701" w:type="dxa"/>
          </w:tcPr>
          <w:p w14:paraId="05638686" w14:textId="6507D045" w:rsidR="00413DCC" w:rsidRPr="00413DCC" w:rsidRDefault="00413DCC" w:rsidP="00413DCC">
            <w:pPr>
              <w:jc w:val="right"/>
              <w:rPr>
                <w:sz w:val="20"/>
                <w:szCs w:val="20"/>
              </w:rPr>
            </w:pPr>
            <w:r w:rsidRPr="00413DCC">
              <w:rPr>
                <w:sz w:val="20"/>
                <w:szCs w:val="20"/>
              </w:rPr>
              <w:t>1 963 717</w:t>
            </w:r>
          </w:p>
        </w:tc>
        <w:tc>
          <w:tcPr>
            <w:tcW w:w="2268" w:type="dxa"/>
          </w:tcPr>
          <w:p w14:paraId="562C85E4" w14:textId="2CFDE3FA" w:rsidR="00413DCC" w:rsidRPr="00413DCC" w:rsidRDefault="00413DCC" w:rsidP="00413DCC">
            <w:pPr>
              <w:jc w:val="right"/>
              <w:rPr>
                <w:sz w:val="20"/>
                <w:szCs w:val="20"/>
              </w:rPr>
            </w:pPr>
            <w:r w:rsidRPr="00413DCC">
              <w:rPr>
                <w:sz w:val="20"/>
                <w:szCs w:val="20"/>
              </w:rPr>
              <w:t>2 044 182</w:t>
            </w:r>
          </w:p>
        </w:tc>
        <w:tc>
          <w:tcPr>
            <w:tcW w:w="1984" w:type="dxa"/>
          </w:tcPr>
          <w:p w14:paraId="0519530C" w14:textId="1591AC31" w:rsidR="00413DCC" w:rsidRPr="00413DCC" w:rsidRDefault="00413DCC" w:rsidP="00413DCC">
            <w:pPr>
              <w:jc w:val="right"/>
              <w:rPr>
                <w:color w:val="000000"/>
                <w:sz w:val="20"/>
                <w:szCs w:val="20"/>
              </w:rPr>
            </w:pPr>
            <w:r w:rsidRPr="00413DCC">
              <w:rPr>
                <w:sz w:val="20"/>
                <w:szCs w:val="20"/>
              </w:rPr>
              <w:t>4%</w:t>
            </w:r>
          </w:p>
        </w:tc>
      </w:tr>
      <w:tr w:rsidR="00413DCC" w:rsidRPr="002E77DC" w14:paraId="32E8108A" w14:textId="77777777" w:rsidTr="00413DCC">
        <w:trPr>
          <w:trHeight w:val="332"/>
          <w:jc w:val="center"/>
        </w:trPr>
        <w:tc>
          <w:tcPr>
            <w:tcW w:w="3256" w:type="dxa"/>
            <w:vAlign w:val="bottom"/>
          </w:tcPr>
          <w:p w14:paraId="38EC94F7" w14:textId="77777777" w:rsidR="00413DCC" w:rsidRPr="002E77DC" w:rsidRDefault="00413DCC" w:rsidP="00413DCC">
            <w:pPr>
              <w:jc w:val="right"/>
              <w:rPr>
                <w:color w:val="000000"/>
                <w:sz w:val="20"/>
                <w:szCs w:val="20"/>
              </w:rPr>
            </w:pPr>
            <w:r>
              <w:rPr>
                <w:color w:val="000000"/>
                <w:sz w:val="20"/>
                <w:szCs w:val="20"/>
              </w:rPr>
              <w:t>K</w:t>
            </w:r>
            <w:r w:rsidRPr="002E77DC">
              <w:rPr>
                <w:color w:val="000000"/>
                <w:sz w:val="20"/>
                <w:szCs w:val="20"/>
              </w:rPr>
              <w:t xml:space="preserve">ultūras </w:t>
            </w:r>
            <w:r>
              <w:rPr>
                <w:color w:val="000000"/>
                <w:sz w:val="20"/>
                <w:szCs w:val="20"/>
              </w:rPr>
              <w:t>projekti , Dziesmu un deju svētki</w:t>
            </w:r>
          </w:p>
        </w:tc>
        <w:tc>
          <w:tcPr>
            <w:tcW w:w="1701" w:type="dxa"/>
          </w:tcPr>
          <w:p w14:paraId="671B88D7" w14:textId="39048FFC" w:rsidR="00413DCC" w:rsidRPr="00413DCC" w:rsidRDefault="00413DCC" w:rsidP="00413DCC">
            <w:pPr>
              <w:jc w:val="right"/>
              <w:rPr>
                <w:sz w:val="20"/>
                <w:szCs w:val="20"/>
              </w:rPr>
            </w:pPr>
            <w:r w:rsidRPr="00413DCC">
              <w:rPr>
                <w:sz w:val="20"/>
                <w:szCs w:val="20"/>
              </w:rPr>
              <w:t>127 582</w:t>
            </w:r>
          </w:p>
        </w:tc>
        <w:tc>
          <w:tcPr>
            <w:tcW w:w="2268" w:type="dxa"/>
          </w:tcPr>
          <w:p w14:paraId="265D9A64" w14:textId="5241BFA7" w:rsidR="00413DCC" w:rsidRPr="00413DCC" w:rsidRDefault="00413DCC" w:rsidP="00413DCC">
            <w:pPr>
              <w:jc w:val="right"/>
              <w:rPr>
                <w:sz w:val="20"/>
                <w:szCs w:val="20"/>
              </w:rPr>
            </w:pPr>
            <w:r w:rsidRPr="00413DCC">
              <w:rPr>
                <w:sz w:val="20"/>
                <w:szCs w:val="20"/>
              </w:rPr>
              <w:t>0</w:t>
            </w:r>
          </w:p>
        </w:tc>
        <w:tc>
          <w:tcPr>
            <w:tcW w:w="1984" w:type="dxa"/>
          </w:tcPr>
          <w:p w14:paraId="6FF8B296" w14:textId="3B7EF8F6" w:rsidR="00413DCC" w:rsidRPr="00413DCC" w:rsidRDefault="00413DCC" w:rsidP="00413DCC">
            <w:pPr>
              <w:jc w:val="right"/>
              <w:rPr>
                <w:color w:val="000000"/>
                <w:sz w:val="20"/>
                <w:szCs w:val="20"/>
              </w:rPr>
            </w:pPr>
            <w:r w:rsidRPr="00413DCC">
              <w:rPr>
                <w:sz w:val="20"/>
                <w:szCs w:val="20"/>
              </w:rPr>
              <w:t>-100%</w:t>
            </w:r>
          </w:p>
        </w:tc>
      </w:tr>
      <w:tr w:rsidR="00413DCC" w:rsidRPr="002E77DC" w14:paraId="160206B4" w14:textId="77777777" w:rsidTr="00413DCC">
        <w:trPr>
          <w:trHeight w:val="332"/>
          <w:jc w:val="center"/>
        </w:trPr>
        <w:tc>
          <w:tcPr>
            <w:tcW w:w="3256" w:type="dxa"/>
            <w:vAlign w:val="bottom"/>
          </w:tcPr>
          <w:p w14:paraId="0BCF5547" w14:textId="77777777" w:rsidR="00413DCC" w:rsidRPr="002E77DC" w:rsidRDefault="00413DCC" w:rsidP="00413DCC">
            <w:pPr>
              <w:jc w:val="right"/>
              <w:rPr>
                <w:color w:val="000000"/>
                <w:sz w:val="20"/>
                <w:szCs w:val="20"/>
              </w:rPr>
            </w:pPr>
            <w:r w:rsidRPr="002E77DC">
              <w:rPr>
                <w:color w:val="000000"/>
                <w:sz w:val="20"/>
                <w:szCs w:val="20"/>
              </w:rPr>
              <w:t>Sporta pasākumi un sporta iestāžu uzturēšana</w:t>
            </w:r>
          </w:p>
        </w:tc>
        <w:tc>
          <w:tcPr>
            <w:tcW w:w="1701" w:type="dxa"/>
          </w:tcPr>
          <w:p w14:paraId="2C0741C9" w14:textId="5AF42075" w:rsidR="00413DCC" w:rsidRPr="00413DCC" w:rsidRDefault="00413DCC" w:rsidP="00413DCC">
            <w:pPr>
              <w:jc w:val="right"/>
              <w:rPr>
                <w:sz w:val="20"/>
                <w:szCs w:val="20"/>
              </w:rPr>
            </w:pPr>
            <w:r w:rsidRPr="00413DCC">
              <w:rPr>
                <w:sz w:val="20"/>
                <w:szCs w:val="20"/>
              </w:rPr>
              <w:t>1 778 177</w:t>
            </w:r>
          </w:p>
        </w:tc>
        <w:tc>
          <w:tcPr>
            <w:tcW w:w="2268" w:type="dxa"/>
          </w:tcPr>
          <w:p w14:paraId="2D739051" w14:textId="7DE2B14B" w:rsidR="00413DCC" w:rsidRPr="00413DCC" w:rsidRDefault="00413DCC" w:rsidP="00413DCC">
            <w:pPr>
              <w:jc w:val="right"/>
              <w:rPr>
                <w:sz w:val="20"/>
                <w:szCs w:val="20"/>
              </w:rPr>
            </w:pPr>
            <w:r w:rsidRPr="00413DCC">
              <w:rPr>
                <w:sz w:val="20"/>
                <w:szCs w:val="20"/>
              </w:rPr>
              <w:t>2 277 301</w:t>
            </w:r>
          </w:p>
        </w:tc>
        <w:tc>
          <w:tcPr>
            <w:tcW w:w="1984" w:type="dxa"/>
          </w:tcPr>
          <w:p w14:paraId="4574342A" w14:textId="4B29179D" w:rsidR="00413DCC" w:rsidRPr="00413DCC" w:rsidRDefault="00413DCC" w:rsidP="00413DCC">
            <w:pPr>
              <w:jc w:val="right"/>
              <w:rPr>
                <w:color w:val="000000"/>
                <w:sz w:val="20"/>
                <w:szCs w:val="20"/>
              </w:rPr>
            </w:pPr>
            <w:r w:rsidRPr="00413DCC">
              <w:rPr>
                <w:sz w:val="20"/>
                <w:szCs w:val="20"/>
              </w:rPr>
              <w:t>28%</w:t>
            </w:r>
          </w:p>
        </w:tc>
      </w:tr>
    </w:tbl>
    <w:p w14:paraId="66C7D9E4" w14:textId="77777777" w:rsidR="006E210F" w:rsidRDefault="006E210F" w:rsidP="006E210F">
      <w:pPr>
        <w:spacing w:line="360" w:lineRule="auto"/>
        <w:ind w:firstLine="840"/>
      </w:pPr>
    </w:p>
    <w:p w14:paraId="1BFEEA01" w14:textId="64926DEE" w:rsidR="006E210F" w:rsidRDefault="006E210F" w:rsidP="006E210F">
      <w:pPr>
        <w:spacing w:line="360" w:lineRule="auto"/>
        <w:ind w:firstLine="840"/>
      </w:pPr>
      <w:r w:rsidRPr="002E77DC">
        <w:t xml:space="preserve"> </w:t>
      </w:r>
      <w:r w:rsidRPr="002E77DC">
        <w:rPr>
          <w:bCs/>
        </w:rPr>
        <w:t xml:space="preserve">Sociālajai aizsardzībai šajā gadā plānoti </w:t>
      </w:r>
      <w:r w:rsidR="00BC73FC" w:rsidRPr="00BC73FC">
        <w:t>8 463</w:t>
      </w:r>
      <w:r w:rsidR="00BC73FC">
        <w:t> </w:t>
      </w:r>
      <w:r w:rsidR="00BC73FC" w:rsidRPr="00BC73FC">
        <w:t>308</w:t>
      </w:r>
      <w:r w:rsidR="00BC73FC">
        <w:t xml:space="preserve"> </w:t>
      </w:r>
      <w:r w:rsidRPr="002E77DC">
        <w:t xml:space="preserve">EUR, kas sastāda </w:t>
      </w:r>
      <w:r w:rsidR="00BC73FC">
        <w:t xml:space="preserve">11,3 </w:t>
      </w:r>
      <w:r w:rsidRPr="00165EE7">
        <w:t>%</w:t>
      </w:r>
      <w:r w:rsidRPr="002E77DC">
        <w:t xml:space="preserve"> no pamatbudžeta izdevumiem, kas par </w:t>
      </w:r>
      <w:r w:rsidR="00B75515">
        <w:t>35</w:t>
      </w:r>
      <w:r>
        <w:t>%</w:t>
      </w:r>
      <w:r w:rsidRPr="002E77DC">
        <w:t xml:space="preserve"> vairāk </w:t>
      </w:r>
      <w:r w:rsidR="000E3B18">
        <w:t>ne</w:t>
      </w:r>
      <w:r w:rsidRPr="002E77DC">
        <w:t>kā iepriekšējā gadā (</w:t>
      </w:r>
      <w:r w:rsidR="002A1FAF" w:rsidRPr="002A1FAF">
        <w:t>6 242 071</w:t>
      </w:r>
      <w:r w:rsidRPr="002E77DC">
        <w:t>).</w:t>
      </w:r>
      <w:r>
        <w:t xml:space="preserve"> </w:t>
      </w:r>
      <w:r w:rsidRPr="00EE4499">
        <w:t>Sociālajiem pabalstiem 202</w:t>
      </w:r>
      <w:r w:rsidR="002A1FAF">
        <w:t>6</w:t>
      </w:r>
      <w:r w:rsidRPr="00EE4499">
        <w:t xml:space="preserve">. gada budžetā paredzēts finansējums </w:t>
      </w:r>
      <w:r w:rsidR="00C73BE0" w:rsidRPr="00C73BE0">
        <w:t>3 333</w:t>
      </w:r>
      <w:r w:rsidR="00C73BE0">
        <w:t> </w:t>
      </w:r>
      <w:r w:rsidR="00C73BE0" w:rsidRPr="00C73BE0">
        <w:t>960</w:t>
      </w:r>
      <w:r w:rsidR="00C73BE0">
        <w:t xml:space="preserve"> </w:t>
      </w:r>
      <w:r w:rsidRPr="008178D9">
        <w:rPr>
          <w:i/>
        </w:rPr>
        <w:t>euro</w:t>
      </w:r>
      <w:r w:rsidR="00C04401">
        <w:t xml:space="preserve">, </w:t>
      </w:r>
      <w:r>
        <w:t>t.i., par 1</w:t>
      </w:r>
      <w:r w:rsidR="00C73BE0">
        <w:t>2</w:t>
      </w:r>
      <w:r>
        <w:t>% vairāk kā izlietots iepriekšējā gadā</w:t>
      </w:r>
      <w:r w:rsidRPr="002E77DC">
        <w:t>.</w:t>
      </w:r>
      <w:r>
        <w:t xml:space="preserve"> Pēc </w:t>
      </w:r>
      <w:r w:rsidRPr="00DC5ABE">
        <w:t>Krievijas Federācijas izraisītā bruņotā konflikta Ukrainā</w:t>
      </w:r>
      <w:r>
        <w:t xml:space="preserve"> pašvaldība cenšas sniegt dažādu pakalpojumu nodrošināšanu Ukrainas civiliedzīvotājiem, kas šobrīd budžeta prognozē paredzēts </w:t>
      </w:r>
      <w:r w:rsidR="00DA5717">
        <w:t>11</w:t>
      </w:r>
      <w:r w:rsidR="00807E51">
        <w:t>2</w:t>
      </w:r>
      <w:r w:rsidR="005F5F53">
        <w:t xml:space="preserve"> </w:t>
      </w:r>
      <w:r w:rsidR="00807E51">
        <w:t>634</w:t>
      </w:r>
      <w:r>
        <w:t xml:space="preserve"> </w:t>
      </w:r>
      <w:r w:rsidRPr="00CA178B">
        <w:rPr>
          <w:i/>
          <w:iCs/>
        </w:rPr>
        <w:t xml:space="preserve">euro </w:t>
      </w:r>
      <w:r>
        <w:t xml:space="preserve">apmērā.  </w:t>
      </w:r>
      <w:r w:rsidR="00360997">
        <w:t>Lielākie projekta līdzekļi plānoti apgūt</w:t>
      </w:r>
      <w:r w:rsidR="003A2C73">
        <w:t xml:space="preserve"> </w:t>
      </w:r>
      <w:r w:rsidR="003A2C73" w:rsidRPr="003A2C73">
        <w:t>754</w:t>
      </w:r>
      <w:r w:rsidR="005F5F53">
        <w:t xml:space="preserve"> </w:t>
      </w:r>
      <w:r w:rsidR="003A2C73" w:rsidRPr="003A2C73">
        <w:t>008</w:t>
      </w:r>
      <w:r w:rsidR="003A2C73">
        <w:t xml:space="preserve"> EUR</w:t>
      </w:r>
      <w:r w:rsidR="00BD4246">
        <w:t xml:space="preserve"> ESF projektā </w:t>
      </w:r>
      <w:r w:rsidR="003A2C73">
        <w:t xml:space="preserve"> </w:t>
      </w:r>
      <w:r w:rsidR="00BD4246">
        <w:t>“</w:t>
      </w:r>
      <w:r w:rsidR="00BD4246" w:rsidRPr="00BD4246">
        <w:t>Dienas aprūpes centra izveide pensijas vecuma personām</w:t>
      </w:r>
      <w:r w:rsidR="00BD4246">
        <w:t>”.</w:t>
      </w:r>
    </w:p>
    <w:p w14:paraId="1D63EA9A" w14:textId="77777777" w:rsidR="006E210F" w:rsidRDefault="006E210F" w:rsidP="006E210F">
      <w:pPr>
        <w:spacing w:line="360" w:lineRule="auto"/>
        <w:ind w:firstLine="840"/>
      </w:pPr>
      <w:r>
        <w:t xml:space="preserve">  </w:t>
      </w:r>
    </w:p>
    <w:p w14:paraId="1D2BDF4D" w14:textId="32342512" w:rsidR="006E210F" w:rsidRDefault="006E210F" w:rsidP="006E210F">
      <w:pPr>
        <w:spacing w:line="360" w:lineRule="auto"/>
        <w:ind w:firstLine="851"/>
        <w:jc w:val="both"/>
        <w:rPr>
          <w:bCs/>
        </w:rPr>
      </w:pPr>
      <w:r w:rsidRPr="002E77DC">
        <w:rPr>
          <w:bCs/>
        </w:rPr>
        <w:t xml:space="preserve">Kopējā </w:t>
      </w:r>
      <w:r w:rsidR="00335204">
        <w:rPr>
          <w:bCs/>
        </w:rPr>
        <w:t xml:space="preserve">pašvaldības pamatbudžeta </w:t>
      </w:r>
      <w:r w:rsidRPr="002E77DC">
        <w:rPr>
          <w:bCs/>
        </w:rPr>
        <w:t xml:space="preserve">atlīdzības summa plānota </w:t>
      </w:r>
      <w:r w:rsidR="00B531BA" w:rsidRPr="00B531BA">
        <w:rPr>
          <w:bCs/>
        </w:rPr>
        <w:t>42 222</w:t>
      </w:r>
      <w:r w:rsidR="00B531BA">
        <w:rPr>
          <w:bCs/>
        </w:rPr>
        <w:t> </w:t>
      </w:r>
      <w:r w:rsidR="00B531BA" w:rsidRPr="00B531BA">
        <w:rPr>
          <w:bCs/>
        </w:rPr>
        <w:t>397</w:t>
      </w:r>
      <w:r w:rsidR="00B531BA">
        <w:rPr>
          <w:bCs/>
        </w:rPr>
        <w:t xml:space="preserve"> </w:t>
      </w:r>
      <w:r w:rsidR="003D485C">
        <w:rPr>
          <w:bCs/>
        </w:rPr>
        <w:t xml:space="preserve">EUR </w:t>
      </w:r>
      <w:r w:rsidRPr="002E77DC">
        <w:rPr>
          <w:bCs/>
        </w:rPr>
        <w:t>apmērā, kas sastāda 5</w:t>
      </w:r>
      <w:r w:rsidR="00073746">
        <w:rPr>
          <w:bCs/>
        </w:rPr>
        <w:t>6</w:t>
      </w:r>
      <w:r w:rsidRPr="002E77DC">
        <w:rPr>
          <w:bCs/>
        </w:rPr>
        <w:t>% no pamatbudžeta</w:t>
      </w:r>
      <w:r>
        <w:rPr>
          <w:bCs/>
        </w:rPr>
        <w:t xml:space="preserve"> kopējiem</w:t>
      </w:r>
      <w:r w:rsidRPr="002E77DC">
        <w:rPr>
          <w:bCs/>
        </w:rPr>
        <w:t xml:space="preserve"> izdevumiem.</w:t>
      </w:r>
      <w:r>
        <w:rPr>
          <w:bCs/>
        </w:rPr>
        <w:t xml:space="preserve"> </w:t>
      </w:r>
      <w:r w:rsidRPr="00E36C6B">
        <w:rPr>
          <w:bCs/>
        </w:rPr>
        <w:t xml:space="preserve">Atbilstoši izmaiņām Ministru kabineta 2015. gada 24. novembra noteikumos Nr. 656 "Noteikumi par minimālās mēneša darba algas apmēru normālā darba laika ietvaros un minimālās stundas tarifa </w:t>
      </w:r>
      <w:r w:rsidRPr="00E36C6B">
        <w:rPr>
          <w:bCs/>
        </w:rPr>
        <w:lastRenderedPageBreak/>
        <w:t xml:space="preserve">likmes aprēķināšanu" pašvaldība </w:t>
      </w:r>
      <w:r>
        <w:rPr>
          <w:bCs/>
        </w:rPr>
        <w:t xml:space="preserve">palielināja minimālās </w:t>
      </w:r>
      <w:r w:rsidRPr="00E36C6B">
        <w:rPr>
          <w:bCs/>
        </w:rPr>
        <w:t xml:space="preserve">mēnešalgas darbiniekiem no </w:t>
      </w:r>
      <w:r>
        <w:rPr>
          <w:bCs/>
        </w:rPr>
        <w:t>7</w:t>
      </w:r>
      <w:r w:rsidR="00073746">
        <w:rPr>
          <w:bCs/>
        </w:rPr>
        <w:t>4</w:t>
      </w:r>
      <w:r>
        <w:rPr>
          <w:bCs/>
        </w:rPr>
        <w:t>0</w:t>
      </w:r>
      <w:r w:rsidRPr="00E36C6B">
        <w:rPr>
          <w:bCs/>
        </w:rPr>
        <w:t xml:space="preserve"> </w:t>
      </w:r>
      <w:r w:rsidRPr="00D330F6">
        <w:rPr>
          <w:bCs/>
          <w:i/>
        </w:rPr>
        <w:t>euro</w:t>
      </w:r>
      <w:r w:rsidRPr="00E36C6B">
        <w:rPr>
          <w:bCs/>
        </w:rPr>
        <w:t xml:space="preserve"> līdz </w:t>
      </w:r>
      <w:r>
        <w:rPr>
          <w:bCs/>
        </w:rPr>
        <w:t>7</w:t>
      </w:r>
      <w:r w:rsidR="00073746">
        <w:rPr>
          <w:bCs/>
        </w:rPr>
        <w:t>8</w:t>
      </w:r>
      <w:r>
        <w:rPr>
          <w:bCs/>
        </w:rPr>
        <w:t>0</w:t>
      </w:r>
      <w:r w:rsidRPr="00E36C6B">
        <w:rPr>
          <w:bCs/>
        </w:rPr>
        <w:t xml:space="preserve"> </w:t>
      </w:r>
      <w:r w:rsidRPr="00D330F6">
        <w:rPr>
          <w:bCs/>
          <w:i/>
        </w:rPr>
        <w:t>euro</w:t>
      </w:r>
      <w:r w:rsidR="00C04BF5">
        <w:rPr>
          <w:bCs/>
          <w:i/>
        </w:rPr>
        <w:t>.</w:t>
      </w:r>
      <w:r w:rsidRPr="00656683">
        <w:t xml:space="preserve"> </w:t>
      </w:r>
      <w:r>
        <w:t xml:space="preserve"> </w:t>
      </w:r>
    </w:p>
    <w:p w14:paraId="37226025" w14:textId="2E62B780" w:rsidR="006E210F" w:rsidRDefault="006E210F" w:rsidP="006E210F">
      <w:pPr>
        <w:spacing w:line="360" w:lineRule="auto"/>
        <w:ind w:firstLine="851"/>
        <w:jc w:val="both"/>
        <w:rPr>
          <w:bCs/>
        </w:rPr>
      </w:pPr>
      <w:r w:rsidRPr="002E77DC">
        <w:rPr>
          <w:bCs/>
        </w:rPr>
        <w:t xml:space="preserve">Izdevumi precēm un pakalpojumiem plānoti </w:t>
      </w:r>
      <w:r w:rsidR="00DE5116" w:rsidRPr="00DE5116">
        <w:rPr>
          <w:bCs/>
        </w:rPr>
        <w:t>16 370</w:t>
      </w:r>
      <w:r w:rsidR="00DE5116">
        <w:rPr>
          <w:bCs/>
        </w:rPr>
        <w:t> </w:t>
      </w:r>
      <w:r w:rsidR="00DE5116" w:rsidRPr="00DE5116">
        <w:rPr>
          <w:bCs/>
        </w:rPr>
        <w:t>919</w:t>
      </w:r>
      <w:r w:rsidR="00DE5116">
        <w:rPr>
          <w:bCs/>
        </w:rPr>
        <w:t xml:space="preserve"> </w:t>
      </w:r>
      <w:r w:rsidRPr="002E77DC">
        <w:rPr>
          <w:bCs/>
          <w:i/>
        </w:rPr>
        <w:t>euro</w:t>
      </w:r>
      <w:r w:rsidRPr="002E77DC">
        <w:rPr>
          <w:bCs/>
        </w:rPr>
        <w:t xml:space="preserve"> apmērā, kas  </w:t>
      </w:r>
      <w:r>
        <w:rPr>
          <w:bCs/>
        </w:rPr>
        <w:t>palielināti</w:t>
      </w:r>
      <w:r w:rsidRPr="002E77DC">
        <w:rPr>
          <w:bCs/>
        </w:rPr>
        <w:t xml:space="preserve"> par </w:t>
      </w:r>
      <w:r w:rsidR="00212E95">
        <w:rPr>
          <w:bCs/>
        </w:rPr>
        <w:t>5,</w:t>
      </w:r>
      <w:r>
        <w:rPr>
          <w:bCs/>
        </w:rPr>
        <w:t>4</w:t>
      </w:r>
      <w:r w:rsidRPr="002E77DC">
        <w:rPr>
          <w:bCs/>
        </w:rPr>
        <w:t>%, salīdzinot ar iepriekšējo gadu, un tie sastāda 2</w:t>
      </w:r>
      <w:r w:rsidR="00212E95">
        <w:rPr>
          <w:bCs/>
        </w:rPr>
        <w:t>2</w:t>
      </w:r>
      <w:r w:rsidRPr="002E77DC">
        <w:rPr>
          <w:bCs/>
        </w:rPr>
        <w:t xml:space="preserve">% no kopējiem izdevumiem. Sadaļas lielāko daļu veido </w:t>
      </w:r>
      <w:r>
        <w:rPr>
          <w:bCs/>
        </w:rPr>
        <w:t>pašvaldības remontdarbi un iestāžu uzturēšanas pakalpojumi</w:t>
      </w:r>
      <w:r w:rsidRPr="002E77DC">
        <w:rPr>
          <w:bCs/>
        </w:rPr>
        <w:t xml:space="preserve"> </w:t>
      </w:r>
      <w:r w:rsidR="00A63EE8" w:rsidRPr="00A63EE8">
        <w:rPr>
          <w:bCs/>
        </w:rPr>
        <w:t>5 325</w:t>
      </w:r>
      <w:r w:rsidR="00A63EE8">
        <w:rPr>
          <w:bCs/>
        </w:rPr>
        <w:t> </w:t>
      </w:r>
      <w:r w:rsidR="00A63EE8" w:rsidRPr="00A63EE8">
        <w:rPr>
          <w:bCs/>
        </w:rPr>
        <w:t>962</w:t>
      </w:r>
      <w:r w:rsidR="00A63EE8">
        <w:rPr>
          <w:bCs/>
        </w:rPr>
        <w:t xml:space="preserve"> </w:t>
      </w:r>
      <w:r>
        <w:rPr>
          <w:bCs/>
        </w:rPr>
        <w:t xml:space="preserve">EUR </w:t>
      </w:r>
      <w:r w:rsidRPr="002E77DC">
        <w:rPr>
          <w:bCs/>
        </w:rPr>
        <w:t xml:space="preserve"> </w:t>
      </w:r>
      <w:r w:rsidRPr="00522EF6">
        <w:rPr>
          <w:bCs/>
        </w:rPr>
        <w:t>apmērā</w:t>
      </w:r>
      <w:r>
        <w:rPr>
          <w:bCs/>
        </w:rPr>
        <w:t>.</w:t>
      </w:r>
    </w:p>
    <w:tbl>
      <w:tblPr>
        <w:tblStyle w:val="Reatabula"/>
        <w:tblW w:w="0" w:type="auto"/>
        <w:tblLook w:val="04A0" w:firstRow="1" w:lastRow="0" w:firstColumn="1" w:lastColumn="0" w:noHBand="0" w:noVBand="1"/>
      </w:tblPr>
      <w:tblGrid>
        <w:gridCol w:w="3823"/>
        <w:gridCol w:w="1701"/>
        <w:gridCol w:w="1701"/>
        <w:gridCol w:w="1984"/>
      </w:tblGrid>
      <w:tr w:rsidR="006E210F" w:rsidRPr="002E77DC" w14:paraId="318B80C4" w14:textId="77777777" w:rsidTr="00183521">
        <w:trPr>
          <w:trHeight w:val="841"/>
        </w:trPr>
        <w:tc>
          <w:tcPr>
            <w:tcW w:w="3823" w:type="dxa"/>
            <w:vAlign w:val="center"/>
          </w:tcPr>
          <w:p w14:paraId="3CCF36BF" w14:textId="77777777" w:rsidR="006E210F" w:rsidRPr="002E77DC" w:rsidRDefault="006E210F" w:rsidP="00183521">
            <w:pPr>
              <w:spacing w:line="360" w:lineRule="auto"/>
              <w:jc w:val="center"/>
              <w:outlineLvl w:val="0"/>
            </w:pPr>
            <w:r w:rsidRPr="00522EF6">
              <w:t>Remontdarbi un iestāžu uzturēšanas pakalpojumi (izņemot kapitālo remontu)</w:t>
            </w:r>
          </w:p>
        </w:tc>
        <w:tc>
          <w:tcPr>
            <w:tcW w:w="1701" w:type="dxa"/>
          </w:tcPr>
          <w:p w14:paraId="747405EA" w14:textId="103E42F6" w:rsidR="006E210F" w:rsidRPr="002E77DC" w:rsidRDefault="006E210F" w:rsidP="00183521">
            <w:pPr>
              <w:jc w:val="center"/>
            </w:pPr>
            <w:r w:rsidRPr="002E77DC">
              <w:t>202</w:t>
            </w:r>
            <w:r w:rsidR="0024153A">
              <w:t>5</w:t>
            </w:r>
            <w:r w:rsidRPr="002E77DC">
              <w:t>.gada izpilde</w:t>
            </w:r>
            <w:r>
              <w:t xml:space="preserve"> EUR</w:t>
            </w:r>
          </w:p>
        </w:tc>
        <w:tc>
          <w:tcPr>
            <w:tcW w:w="1701" w:type="dxa"/>
          </w:tcPr>
          <w:p w14:paraId="2213DB9E" w14:textId="50662CE5" w:rsidR="006E210F" w:rsidRPr="002E77DC" w:rsidRDefault="006E210F" w:rsidP="00183521">
            <w:pPr>
              <w:jc w:val="center"/>
            </w:pPr>
            <w:r w:rsidRPr="002E77DC">
              <w:t>202</w:t>
            </w:r>
            <w:r w:rsidR="0024153A">
              <w:t>6</w:t>
            </w:r>
            <w:r w:rsidRPr="002E77DC">
              <w:t>.gada budžeta prognoze</w:t>
            </w:r>
            <w:r>
              <w:t xml:space="preserve"> EUR</w:t>
            </w:r>
          </w:p>
        </w:tc>
        <w:tc>
          <w:tcPr>
            <w:tcW w:w="1984" w:type="dxa"/>
            <w:vAlign w:val="center"/>
          </w:tcPr>
          <w:p w14:paraId="6EDD0EBE" w14:textId="77777777" w:rsidR="006E210F" w:rsidRPr="002E77DC" w:rsidRDefault="006E210F" w:rsidP="00183521">
            <w:pPr>
              <w:jc w:val="center"/>
            </w:pPr>
            <w:r w:rsidRPr="002E77DC">
              <w:t>Salīdzinājums</w:t>
            </w:r>
          </w:p>
        </w:tc>
      </w:tr>
      <w:tr w:rsidR="001008C1" w:rsidRPr="002E77DC" w14:paraId="4453637F" w14:textId="77777777" w:rsidTr="00D96CC8">
        <w:trPr>
          <w:trHeight w:val="280"/>
        </w:trPr>
        <w:tc>
          <w:tcPr>
            <w:tcW w:w="3823" w:type="dxa"/>
            <w:vAlign w:val="center"/>
          </w:tcPr>
          <w:p w14:paraId="4FD7AEDA" w14:textId="77777777" w:rsidR="001008C1" w:rsidRPr="002E77DC" w:rsidRDefault="001008C1" w:rsidP="001008C1">
            <w:pPr>
              <w:jc w:val="right"/>
            </w:pPr>
            <w:r w:rsidRPr="002E77DC">
              <w:t>Kopā:</w:t>
            </w:r>
          </w:p>
        </w:tc>
        <w:tc>
          <w:tcPr>
            <w:tcW w:w="1701" w:type="dxa"/>
          </w:tcPr>
          <w:p w14:paraId="205BBE42" w14:textId="313D97EA" w:rsidR="001008C1" w:rsidRPr="002E77DC" w:rsidRDefault="001008C1" w:rsidP="001008C1">
            <w:pPr>
              <w:jc w:val="center"/>
            </w:pPr>
            <w:r w:rsidRPr="003F17E7">
              <w:t>5 501 452</w:t>
            </w:r>
          </w:p>
        </w:tc>
        <w:tc>
          <w:tcPr>
            <w:tcW w:w="1701" w:type="dxa"/>
          </w:tcPr>
          <w:p w14:paraId="7A9EB461" w14:textId="63BA97E9" w:rsidR="001008C1" w:rsidRPr="002E77DC" w:rsidRDefault="001008C1" w:rsidP="001008C1">
            <w:pPr>
              <w:jc w:val="center"/>
            </w:pPr>
            <w:r w:rsidRPr="003F17E7">
              <w:t>5 325 962</w:t>
            </w:r>
          </w:p>
        </w:tc>
        <w:tc>
          <w:tcPr>
            <w:tcW w:w="1984" w:type="dxa"/>
          </w:tcPr>
          <w:p w14:paraId="357AD53D" w14:textId="4C1F979D" w:rsidR="001008C1" w:rsidRPr="002E77DC" w:rsidRDefault="001008C1" w:rsidP="001008C1">
            <w:pPr>
              <w:spacing w:line="360" w:lineRule="auto"/>
              <w:jc w:val="center"/>
            </w:pPr>
            <w:r w:rsidRPr="003F17E7">
              <w:t>-3%</w:t>
            </w:r>
          </w:p>
        </w:tc>
      </w:tr>
      <w:tr w:rsidR="00427DB1" w:rsidRPr="002E77DC" w14:paraId="62469664" w14:textId="77777777" w:rsidTr="000D3899">
        <w:trPr>
          <w:trHeight w:val="332"/>
        </w:trPr>
        <w:tc>
          <w:tcPr>
            <w:tcW w:w="3823" w:type="dxa"/>
            <w:vAlign w:val="bottom"/>
          </w:tcPr>
          <w:p w14:paraId="4E1CCCE9" w14:textId="77777777" w:rsidR="00427DB1" w:rsidRPr="002E77DC" w:rsidRDefault="00427DB1" w:rsidP="00427DB1">
            <w:pPr>
              <w:jc w:val="right"/>
              <w:rPr>
                <w:color w:val="000000"/>
                <w:sz w:val="20"/>
                <w:szCs w:val="20"/>
              </w:rPr>
            </w:pPr>
            <w:r w:rsidRPr="00F55D31">
              <w:rPr>
                <w:color w:val="000000"/>
                <w:sz w:val="20"/>
                <w:szCs w:val="20"/>
              </w:rPr>
              <w:t xml:space="preserve">    Ēku, būvju un telpu būvdarbi</w:t>
            </w:r>
          </w:p>
        </w:tc>
        <w:tc>
          <w:tcPr>
            <w:tcW w:w="1701" w:type="dxa"/>
            <w:tcBorders>
              <w:top w:val="single" w:sz="4" w:space="0" w:color="auto"/>
              <w:left w:val="single" w:sz="4" w:space="0" w:color="auto"/>
              <w:bottom w:val="single" w:sz="4" w:space="0" w:color="auto"/>
              <w:right w:val="single" w:sz="4" w:space="0" w:color="auto"/>
            </w:tcBorders>
            <w:vAlign w:val="center"/>
          </w:tcPr>
          <w:p w14:paraId="41EDF550" w14:textId="03EFE97C" w:rsidR="00427DB1" w:rsidRPr="00427DB1" w:rsidRDefault="00427DB1" w:rsidP="00427DB1">
            <w:pPr>
              <w:jc w:val="right"/>
              <w:rPr>
                <w:sz w:val="20"/>
                <w:szCs w:val="20"/>
              </w:rPr>
            </w:pPr>
            <w:r w:rsidRPr="00427DB1">
              <w:rPr>
                <w:color w:val="000000"/>
                <w:sz w:val="20"/>
                <w:szCs w:val="20"/>
              </w:rPr>
              <w:t>390 533</w:t>
            </w:r>
          </w:p>
        </w:tc>
        <w:tc>
          <w:tcPr>
            <w:tcW w:w="1701" w:type="dxa"/>
            <w:tcBorders>
              <w:top w:val="single" w:sz="4" w:space="0" w:color="auto"/>
              <w:left w:val="nil"/>
              <w:bottom w:val="single" w:sz="4" w:space="0" w:color="auto"/>
              <w:right w:val="single" w:sz="4" w:space="0" w:color="auto"/>
            </w:tcBorders>
            <w:vAlign w:val="center"/>
          </w:tcPr>
          <w:p w14:paraId="60E8E2C4" w14:textId="26494E19" w:rsidR="00427DB1" w:rsidRPr="00427DB1" w:rsidRDefault="00427DB1" w:rsidP="00427DB1">
            <w:pPr>
              <w:jc w:val="right"/>
              <w:rPr>
                <w:sz w:val="20"/>
                <w:szCs w:val="20"/>
              </w:rPr>
            </w:pPr>
            <w:r w:rsidRPr="00427DB1">
              <w:rPr>
                <w:color w:val="000000"/>
                <w:sz w:val="20"/>
                <w:szCs w:val="20"/>
              </w:rPr>
              <w:t>501 280</w:t>
            </w:r>
          </w:p>
        </w:tc>
        <w:tc>
          <w:tcPr>
            <w:tcW w:w="1984" w:type="dxa"/>
            <w:tcBorders>
              <w:top w:val="single" w:sz="4" w:space="0" w:color="auto"/>
              <w:left w:val="nil"/>
              <w:bottom w:val="single" w:sz="4" w:space="0" w:color="auto"/>
              <w:right w:val="single" w:sz="4" w:space="0" w:color="auto"/>
            </w:tcBorders>
            <w:vAlign w:val="center"/>
          </w:tcPr>
          <w:p w14:paraId="615057D6" w14:textId="4284D81A" w:rsidR="00427DB1" w:rsidRPr="00427DB1" w:rsidRDefault="00427DB1" w:rsidP="00427DB1">
            <w:pPr>
              <w:jc w:val="right"/>
              <w:rPr>
                <w:color w:val="000000"/>
                <w:sz w:val="20"/>
                <w:szCs w:val="20"/>
              </w:rPr>
            </w:pPr>
            <w:r w:rsidRPr="00427DB1">
              <w:rPr>
                <w:color w:val="000000"/>
                <w:sz w:val="20"/>
                <w:szCs w:val="20"/>
              </w:rPr>
              <w:t>28%</w:t>
            </w:r>
          </w:p>
        </w:tc>
      </w:tr>
      <w:tr w:rsidR="00427DB1" w:rsidRPr="002E77DC" w14:paraId="1E0B1E5B" w14:textId="77777777" w:rsidTr="000D3899">
        <w:trPr>
          <w:trHeight w:val="332"/>
        </w:trPr>
        <w:tc>
          <w:tcPr>
            <w:tcW w:w="3823" w:type="dxa"/>
            <w:vAlign w:val="bottom"/>
          </w:tcPr>
          <w:p w14:paraId="49045883" w14:textId="77777777" w:rsidR="00427DB1" w:rsidRPr="002E77DC" w:rsidRDefault="00427DB1" w:rsidP="00427DB1">
            <w:pPr>
              <w:jc w:val="right"/>
              <w:rPr>
                <w:color w:val="000000"/>
                <w:sz w:val="20"/>
                <w:szCs w:val="20"/>
              </w:rPr>
            </w:pPr>
            <w:r w:rsidRPr="00F55D31">
              <w:rPr>
                <w:color w:val="000000"/>
                <w:sz w:val="20"/>
                <w:szCs w:val="20"/>
              </w:rPr>
              <w:t xml:space="preserve">    Transportlīdzekļu uzturēšana un remonts</w:t>
            </w:r>
          </w:p>
        </w:tc>
        <w:tc>
          <w:tcPr>
            <w:tcW w:w="1701" w:type="dxa"/>
            <w:tcBorders>
              <w:top w:val="nil"/>
              <w:left w:val="single" w:sz="4" w:space="0" w:color="auto"/>
              <w:bottom w:val="single" w:sz="4" w:space="0" w:color="auto"/>
              <w:right w:val="single" w:sz="4" w:space="0" w:color="auto"/>
            </w:tcBorders>
            <w:vAlign w:val="center"/>
          </w:tcPr>
          <w:p w14:paraId="46C47FCB" w14:textId="62DC76B9" w:rsidR="00427DB1" w:rsidRPr="00427DB1" w:rsidRDefault="00427DB1" w:rsidP="00427DB1">
            <w:pPr>
              <w:jc w:val="right"/>
              <w:rPr>
                <w:sz w:val="20"/>
                <w:szCs w:val="20"/>
              </w:rPr>
            </w:pPr>
            <w:r w:rsidRPr="00427DB1">
              <w:rPr>
                <w:color w:val="000000"/>
                <w:sz w:val="20"/>
                <w:szCs w:val="20"/>
              </w:rPr>
              <w:t>648 077</w:t>
            </w:r>
          </w:p>
        </w:tc>
        <w:tc>
          <w:tcPr>
            <w:tcW w:w="1701" w:type="dxa"/>
            <w:tcBorders>
              <w:top w:val="nil"/>
              <w:left w:val="nil"/>
              <w:bottom w:val="single" w:sz="4" w:space="0" w:color="auto"/>
              <w:right w:val="single" w:sz="4" w:space="0" w:color="auto"/>
            </w:tcBorders>
            <w:vAlign w:val="center"/>
          </w:tcPr>
          <w:p w14:paraId="7B675F4A" w14:textId="6E610229" w:rsidR="00427DB1" w:rsidRPr="00427DB1" w:rsidRDefault="00427DB1" w:rsidP="00427DB1">
            <w:pPr>
              <w:jc w:val="right"/>
              <w:rPr>
                <w:sz w:val="20"/>
                <w:szCs w:val="20"/>
              </w:rPr>
            </w:pPr>
            <w:r w:rsidRPr="00427DB1">
              <w:rPr>
                <w:color w:val="000000"/>
                <w:sz w:val="20"/>
                <w:szCs w:val="20"/>
              </w:rPr>
              <w:t>748 143</w:t>
            </w:r>
          </w:p>
        </w:tc>
        <w:tc>
          <w:tcPr>
            <w:tcW w:w="1984" w:type="dxa"/>
            <w:tcBorders>
              <w:top w:val="nil"/>
              <w:left w:val="nil"/>
              <w:bottom w:val="single" w:sz="4" w:space="0" w:color="auto"/>
              <w:right w:val="single" w:sz="4" w:space="0" w:color="auto"/>
            </w:tcBorders>
            <w:vAlign w:val="center"/>
          </w:tcPr>
          <w:p w14:paraId="47BFA433" w14:textId="0F66D0FD" w:rsidR="00427DB1" w:rsidRPr="00427DB1" w:rsidRDefault="00427DB1" w:rsidP="00427DB1">
            <w:pPr>
              <w:jc w:val="right"/>
              <w:rPr>
                <w:color w:val="000000"/>
                <w:sz w:val="20"/>
                <w:szCs w:val="20"/>
              </w:rPr>
            </w:pPr>
            <w:r w:rsidRPr="00427DB1">
              <w:rPr>
                <w:color w:val="000000"/>
                <w:sz w:val="20"/>
                <w:szCs w:val="20"/>
              </w:rPr>
              <w:t>15%</w:t>
            </w:r>
          </w:p>
        </w:tc>
      </w:tr>
      <w:tr w:rsidR="00427DB1" w:rsidRPr="002E77DC" w14:paraId="68E6CF0E" w14:textId="77777777" w:rsidTr="000D3899">
        <w:trPr>
          <w:trHeight w:val="332"/>
        </w:trPr>
        <w:tc>
          <w:tcPr>
            <w:tcW w:w="3823" w:type="dxa"/>
            <w:vAlign w:val="bottom"/>
          </w:tcPr>
          <w:p w14:paraId="2B985D21" w14:textId="77777777" w:rsidR="00427DB1" w:rsidRPr="002E77DC" w:rsidRDefault="00427DB1" w:rsidP="00427DB1">
            <w:pPr>
              <w:jc w:val="right"/>
              <w:rPr>
                <w:color w:val="000000"/>
                <w:sz w:val="20"/>
                <w:szCs w:val="20"/>
              </w:rPr>
            </w:pPr>
            <w:r w:rsidRPr="00F55D31">
              <w:rPr>
                <w:color w:val="000000"/>
                <w:sz w:val="20"/>
                <w:szCs w:val="20"/>
              </w:rPr>
              <w:t xml:space="preserve">    Iekārtas, inventāra un aparatūras remonts, tehniskā apkalpošana</w:t>
            </w:r>
          </w:p>
        </w:tc>
        <w:tc>
          <w:tcPr>
            <w:tcW w:w="1701" w:type="dxa"/>
            <w:tcBorders>
              <w:top w:val="nil"/>
              <w:left w:val="single" w:sz="4" w:space="0" w:color="auto"/>
              <w:bottom w:val="single" w:sz="4" w:space="0" w:color="auto"/>
              <w:right w:val="single" w:sz="4" w:space="0" w:color="auto"/>
            </w:tcBorders>
            <w:vAlign w:val="center"/>
          </w:tcPr>
          <w:p w14:paraId="0F398D30" w14:textId="2DF96D71" w:rsidR="00427DB1" w:rsidRPr="00427DB1" w:rsidRDefault="00427DB1" w:rsidP="00427DB1">
            <w:pPr>
              <w:jc w:val="right"/>
              <w:rPr>
                <w:sz w:val="20"/>
                <w:szCs w:val="20"/>
              </w:rPr>
            </w:pPr>
            <w:r w:rsidRPr="00427DB1">
              <w:rPr>
                <w:color w:val="000000"/>
                <w:sz w:val="20"/>
                <w:szCs w:val="20"/>
              </w:rPr>
              <w:t>144 097</w:t>
            </w:r>
          </w:p>
        </w:tc>
        <w:tc>
          <w:tcPr>
            <w:tcW w:w="1701" w:type="dxa"/>
            <w:tcBorders>
              <w:top w:val="nil"/>
              <w:left w:val="nil"/>
              <w:bottom w:val="single" w:sz="4" w:space="0" w:color="auto"/>
              <w:right w:val="single" w:sz="4" w:space="0" w:color="auto"/>
            </w:tcBorders>
            <w:vAlign w:val="center"/>
          </w:tcPr>
          <w:p w14:paraId="2DEA27E1" w14:textId="6FD85254" w:rsidR="00427DB1" w:rsidRPr="00427DB1" w:rsidRDefault="00427DB1" w:rsidP="00427DB1">
            <w:pPr>
              <w:jc w:val="right"/>
              <w:rPr>
                <w:sz w:val="20"/>
                <w:szCs w:val="20"/>
              </w:rPr>
            </w:pPr>
            <w:r w:rsidRPr="00427DB1">
              <w:rPr>
                <w:color w:val="000000"/>
                <w:sz w:val="20"/>
                <w:szCs w:val="20"/>
              </w:rPr>
              <w:t>162 650</w:t>
            </w:r>
          </w:p>
        </w:tc>
        <w:tc>
          <w:tcPr>
            <w:tcW w:w="1984" w:type="dxa"/>
            <w:tcBorders>
              <w:top w:val="nil"/>
              <w:left w:val="nil"/>
              <w:bottom w:val="single" w:sz="4" w:space="0" w:color="auto"/>
              <w:right w:val="single" w:sz="4" w:space="0" w:color="auto"/>
            </w:tcBorders>
            <w:vAlign w:val="center"/>
          </w:tcPr>
          <w:p w14:paraId="0B08BA7C" w14:textId="70E11E32" w:rsidR="00427DB1" w:rsidRPr="00427DB1" w:rsidRDefault="00427DB1" w:rsidP="00427DB1">
            <w:pPr>
              <w:jc w:val="right"/>
              <w:rPr>
                <w:color w:val="000000"/>
                <w:sz w:val="20"/>
                <w:szCs w:val="20"/>
              </w:rPr>
            </w:pPr>
            <w:r w:rsidRPr="00427DB1">
              <w:rPr>
                <w:color w:val="000000"/>
                <w:sz w:val="20"/>
                <w:szCs w:val="20"/>
              </w:rPr>
              <w:t>13%</w:t>
            </w:r>
          </w:p>
        </w:tc>
      </w:tr>
      <w:tr w:rsidR="00427DB1" w:rsidRPr="002E77DC" w14:paraId="4B84AE60" w14:textId="77777777" w:rsidTr="000D3899">
        <w:trPr>
          <w:trHeight w:val="332"/>
        </w:trPr>
        <w:tc>
          <w:tcPr>
            <w:tcW w:w="3823" w:type="dxa"/>
            <w:vAlign w:val="bottom"/>
          </w:tcPr>
          <w:p w14:paraId="79A24C23" w14:textId="77777777" w:rsidR="00427DB1" w:rsidRPr="002E77DC" w:rsidRDefault="00427DB1" w:rsidP="00427DB1">
            <w:pPr>
              <w:jc w:val="right"/>
              <w:rPr>
                <w:color w:val="000000"/>
                <w:sz w:val="20"/>
                <w:szCs w:val="20"/>
              </w:rPr>
            </w:pPr>
            <w:r w:rsidRPr="00F55D31">
              <w:rPr>
                <w:color w:val="000000"/>
                <w:sz w:val="20"/>
                <w:szCs w:val="20"/>
              </w:rPr>
              <w:t xml:space="preserve">    Nekustamā īpašuma uzturēšana</w:t>
            </w:r>
          </w:p>
        </w:tc>
        <w:tc>
          <w:tcPr>
            <w:tcW w:w="1701" w:type="dxa"/>
            <w:tcBorders>
              <w:top w:val="nil"/>
              <w:left w:val="single" w:sz="4" w:space="0" w:color="auto"/>
              <w:bottom w:val="single" w:sz="4" w:space="0" w:color="auto"/>
              <w:right w:val="single" w:sz="4" w:space="0" w:color="auto"/>
            </w:tcBorders>
            <w:vAlign w:val="center"/>
          </w:tcPr>
          <w:p w14:paraId="624FC4D0" w14:textId="2EEE40F0" w:rsidR="00427DB1" w:rsidRPr="00427DB1" w:rsidRDefault="00427DB1" w:rsidP="00427DB1">
            <w:pPr>
              <w:jc w:val="right"/>
              <w:rPr>
                <w:sz w:val="20"/>
                <w:szCs w:val="20"/>
              </w:rPr>
            </w:pPr>
            <w:r w:rsidRPr="00427DB1">
              <w:rPr>
                <w:color w:val="000000"/>
                <w:sz w:val="20"/>
                <w:szCs w:val="20"/>
              </w:rPr>
              <w:t>2 275 817</w:t>
            </w:r>
          </w:p>
        </w:tc>
        <w:tc>
          <w:tcPr>
            <w:tcW w:w="1701" w:type="dxa"/>
            <w:tcBorders>
              <w:top w:val="nil"/>
              <w:left w:val="nil"/>
              <w:bottom w:val="single" w:sz="4" w:space="0" w:color="auto"/>
              <w:right w:val="single" w:sz="4" w:space="0" w:color="auto"/>
            </w:tcBorders>
            <w:vAlign w:val="center"/>
          </w:tcPr>
          <w:p w14:paraId="293E4132" w14:textId="3814B73E" w:rsidR="00427DB1" w:rsidRPr="00427DB1" w:rsidRDefault="00427DB1" w:rsidP="00427DB1">
            <w:pPr>
              <w:jc w:val="right"/>
              <w:rPr>
                <w:sz w:val="20"/>
                <w:szCs w:val="20"/>
              </w:rPr>
            </w:pPr>
            <w:r w:rsidRPr="00427DB1">
              <w:rPr>
                <w:color w:val="000000"/>
                <w:sz w:val="20"/>
                <w:szCs w:val="20"/>
              </w:rPr>
              <w:t>1 840 455</w:t>
            </w:r>
          </w:p>
        </w:tc>
        <w:tc>
          <w:tcPr>
            <w:tcW w:w="1984" w:type="dxa"/>
            <w:tcBorders>
              <w:top w:val="nil"/>
              <w:left w:val="nil"/>
              <w:bottom w:val="single" w:sz="4" w:space="0" w:color="auto"/>
              <w:right w:val="single" w:sz="4" w:space="0" w:color="auto"/>
            </w:tcBorders>
            <w:vAlign w:val="center"/>
          </w:tcPr>
          <w:p w14:paraId="5457E8A4" w14:textId="17BCE5E2" w:rsidR="00427DB1" w:rsidRPr="00427DB1" w:rsidRDefault="00427DB1" w:rsidP="00427DB1">
            <w:pPr>
              <w:jc w:val="right"/>
              <w:rPr>
                <w:color w:val="000000"/>
                <w:sz w:val="20"/>
                <w:szCs w:val="20"/>
              </w:rPr>
            </w:pPr>
            <w:r w:rsidRPr="00427DB1">
              <w:rPr>
                <w:color w:val="000000"/>
                <w:sz w:val="20"/>
                <w:szCs w:val="20"/>
              </w:rPr>
              <w:t>-19%</w:t>
            </w:r>
          </w:p>
        </w:tc>
      </w:tr>
      <w:tr w:rsidR="00427DB1" w:rsidRPr="002E77DC" w14:paraId="209FEBDC" w14:textId="77777777" w:rsidTr="000D3899">
        <w:trPr>
          <w:trHeight w:val="332"/>
        </w:trPr>
        <w:tc>
          <w:tcPr>
            <w:tcW w:w="3823" w:type="dxa"/>
            <w:vAlign w:val="bottom"/>
          </w:tcPr>
          <w:p w14:paraId="3C2267B3" w14:textId="77777777" w:rsidR="00427DB1" w:rsidRPr="00F55D31" w:rsidRDefault="00427DB1" w:rsidP="00427DB1">
            <w:pPr>
              <w:jc w:val="right"/>
              <w:rPr>
                <w:color w:val="000000"/>
                <w:sz w:val="20"/>
                <w:szCs w:val="20"/>
              </w:rPr>
            </w:pPr>
            <w:r w:rsidRPr="00F55D31">
              <w:rPr>
                <w:color w:val="000000"/>
                <w:sz w:val="20"/>
                <w:szCs w:val="20"/>
              </w:rPr>
              <w:t xml:space="preserve">    Autoceļu un ielu pārvaldīšana un uzturēšana</w:t>
            </w:r>
          </w:p>
        </w:tc>
        <w:tc>
          <w:tcPr>
            <w:tcW w:w="1701" w:type="dxa"/>
            <w:tcBorders>
              <w:top w:val="nil"/>
              <w:left w:val="single" w:sz="4" w:space="0" w:color="auto"/>
              <w:bottom w:val="single" w:sz="4" w:space="0" w:color="auto"/>
              <w:right w:val="single" w:sz="4" w:space="0" w:color="auto"/>
            </w:tcBorders>
            <w:vAlign w:val="center"/>
          </w:tcPr>
          <w:p w14:paraId="0EF11B2B" w14:textId="58EE8E2F" w:rsidR="00427DB1" w:rsidRPr="00427DB1" w:rsidRDefault="00427DB1" w:rsidP="00427DB1">
            <w:pPr>
              <w:jc w:val="right"/>
              <w:rPr>
                <w:sz w:val="20"/>
                <w:szCs w:val="20"/>
              </w:rPr>
            </w:pPr>
            <w:r w:rsidRPr="00427DB1">
              <w:rPr>
                <w:color w:val="000000"/>
                <w:sz w:val="20"/>
                <w:szCs w:val="20"/>
              </w:rPr>
              <w:t>2 022 313</w:t>
            </w:r>
          </w:p>
        </w:tc>
        <w:tc>
          <w:tcPr>
            <w:tcW w:w="1701" w:type="dxa"/>
            <w:tcBorders>
              <w:top w:val="nil"/>
              <w:left w:val="nil"/>
              <w:bottom w:val="single" w:sz="4" w:space="0" w:color="auto"/>
              <w:right w:val="single" w:sz="4" w:space="0" w:color="auto"/>
            </w:tcBorders>
            <w:vAlign w:val="center"/>
          </w:tcPr>
          <w:p w14:paraId="52ABEBA1" w14:textId="4D16EA22" w:rsidR="00427DB1" w:rsidRPr="00427DB1" w:rsidRDefault="00427DB1" w:rsidP="00427DB1">
            <w:pPr>
              <w:jc w:val="right"/>
              <w:rPr>
                <w:sz w:val="20"/>
                <w:szCs w:val="20"/>
              </w:rPr>
            </w:pPr>
            <w:r w:rsidRPr="00427DB1">
              <w:rPr>
                <w:color w:val="000000"/>
                <w:sz w:val="20"/>
                <w:szCs w:val="20"/>
              </w:rPr>
              <w:t>2 021 377</w:t>
            </w:r>
          </w:p>
        </w:tc>
        <w:tc>
          <w:tcPr>
            <w:tcW w:w="1984" w:type="dxa"/>
            <w:tcBorders>
              <w:top w:val="nil"/>
              <w:left w:val="nil"/>
              <w:bottom w:val="single" w:sz="4" w:space="0" w:color="auto"/>
              <w:right w:val="single" w:sz="4" w:space="0" w:color="auto"/>
            </w:tcBorders>
            <w:vAlign w:val="center"/>
          </w:tcPr>
          <w:p w14:paraId="287B635F" w14:textId="203C84E2" w:rsidR="00427DB1" w:rsidRPr="00427DB1" w:rsidRDefault="00427DB1" w:rsidP="00427DB1">
            <w:pPr>
              <w:jc w:val="right"/>
              <w:rPr>
                <w:color w:val="000000"/>
                <w:sz w:val="20"/>
                <w:szCs w:val="20"/>
              </w:rPr>
            </w:pPr>
            <w:r w:rsidRPr="00427DB1">
              <w:rPr>
                <w:color w:val="000000"/>
                <w:sz w:val="20"/>
                <w:szCs w:val="20"/>
              </w:rPr>
              <w:t>0%</w:t>
            </w:r>
          </w:p>
        </w:tc>
      </w:tr>
      <w:tr w:rsidR="00427DB1" w:rsidRPr="002E77DC" w14:paraId="1DF39626" w14:textId="77777777" w:rsidTr="000D3899">
        <w:trPr>
          <w:trHeight w:val="332"/>
        </w:trPr>
        <w:tc>
          <w:tcPr>
            <w:tcW w:w="3823" w:type="dxa"/>
            <w:vAlign w:val="bottom"/>
          </w:tcPr>
          <w:p w14:paraId="3228212D" w14:textId="77777777" w:rsidR="00427DB1" w:rsidRPr="002E77DC" w:rsidRDefault="00427DB1" w:rsidP="00427DB1">
            <w:pPr>
              <w:jc w:val="right"/>
              <w:rPr>
                <w:color w:val="000000"/>
                <w:sz w:val="20"/>
                <w:szCs w:val="20"/>
              </w:rPr>
            </w:pPr>
            <w:r w:rsidRPr="00F55D31">
              <w:rPr>
                <w:color w:val="000000"/>
                <w:sz w:val="20"/>
                <w:szCs w:val="20"/>
              </w:rPr>
              <w:t xml:space="preserve">    Apdrošināšanas izdevumi</w:t>
            </w:r>
            <w:r>
              <w:rPr>
                <w:color w:val="000000"/>
                <w:sz w:val="20"/>
                <w:szCs w:val="20"/>
              </w:rPr>
              <w:t xml:space="preserve"> (neskaitot īpašumu apdrošināšanu)</w:t>
            </w:r>
          </w:p>
        </w:tc>
        <w:tc>
          <w:tcPr>
            <w:tcW w:w="1701" w:type="dxa"/>
            <w:tcBorders>
              <w:top w:val="nil"/>
              <w:left w:val="single" w:sz="4" w:space="0" w:color="auto"/>
              <w:bottom w:val="single" w:sz="4" w:space="0" w:color="auto"/>
              <w:right w:val="single" w:sz="4" w:space="0" w:color="auto"/>
            </w:tcBorders>
            <w:vAlign w:val="center"/>
          </w:tcPr>
          <w:p w14:paraId="488D9569" w14:textId="6006AADC" w:rsidR="00427DB1" w:rsidRPr="00427DB1" w:rsidRDefault="00427DB1" w:rsidP="00427DB1">
            <w:pPr>
              <w:jc w:val="right"/>
              <w:rPr>
                <w:sz w:val="20"/>
                <w:szCs w:val="20"/>
              </w:rPr>
            </w:pPr>
            <w:r w:rsidRPr="00427DB1">
              <w:rPr>
                <w:color w:val="000000"/>
                <w:sz w:val="20"/>
                <w:szCs w:val="20"/>
              </w:rPr>
              <w:t>1 824</w:t>
            </w:r>
          </w:p>
        </w:tc>
        <w:tc>
          <w:tcPr>
            <w:tcW w:w="1701" w:type="dxa"/>
            <w:tcBorders>
              <w:top w:val="nil"/>
              <w:left w:val="nil"/>
              <w:bottom w:val="single" w:sz="4" w:space="0" w:color="auto"/>
              <w:right w:val="single" w:sz="4" w:space="0" w:color="auto"/>
            </w:tcBorders>
            <w:vAlign w:val="center"/>
          </w:tcPr>
          <w:p w14:paraId="7AA9C3B8" w14:textId="6EA3B0BC" w:rsidR="00427DB1" w:rsidRPr="00427DB1" w:rsidRDefault="00427DB1" w:rsidP="00427DB1">
            <w:pPr>
              <w:jc w:val="right"/>
              <w:rPr>
                <w:sz w:val="20"/>
                <w:szCs w:val="20"/>
              </w:rPr>
            </w:pPr>
            <w:r w:rsidRPr="00427DB1">
              <w:rPr>
                <w:color w:val="000000"/>
                <w:sz w:val="20"/>
                <w:szCs w:val="20"/>
              </w:rPr>
              <w:t>2 436</w:t>
            </w:r>
          </w:p>
        </w:tc>
        <w:tc>
          <w:tcPr>
            <w:tcW w:w="1984" w:type="dxa"/>
            <w:tcBorders>
              <w:top w:val="nil"/>
              <w:left w:val="nil"/>
              <w:bottom w:val="single" w:sz="4" w:space="0" w:color="auto"/>
              <w:right w:val="single" w:sz="4" w:space="0" w:color="auto"/>
            </w:tcBorders>
            <w:vAlign w:val="center"/>
          </w:tcPr>
          <w:p w14:paraId="5DC65D3B" w14:textId="194C57B4" w:rsidR="00427DB1" w:rsidRPr="00427DB1" w:rsidRDefault="00427DB1" w:rsidP="00427DB1">
            <w:pPr>
              <w:jc w:val="right"/>
              <w:rPr>
                <w:color w:val="000000"/>
                <w:sz w:val="20"/>
                <w:szCs w:val="20"/>
              </w:rPr>
            </w:pPr>
            <w:r w:rsidRPr="00427DB1">
              <w:rPr>
                <w:color w:val="000000"/>
                <w:sz w:val="20"/>
                <w:szCs w:val="20"/>
              </w:rPr>
              <w:t>34%</w:t>
            </w:r>
          </w:p>
        </w:tc>
      </w:tr>
      <w:tr w:rsidR="00427DB1" w:rsidRPr="002E77DC" w14:paraId="7BBCC914" w14:textId="77777777" w:rsidTr="000D3899">
        <w:trPr>
          <w:trHeight w:val="332"/>
        </w:trPr>
        <w:tc>
          <w:tcPr>
            <w:tcW w:w="3823" w:type="dxa"/>
            <w:vAlign w:val="bottom"/>
          </w:tcPr>
          <w:p w14:paraId="24D3F0FF" w14:textId="77777777" w:rsidR="00427DB1" w:rsidRPr="002E77DC" w:rsidRDefault="00427DB1" w:rsidP="00427DB1">
            <w:pPr>
              <w:jc w:val="right"/>
              <w:rPr>
                <w:color w:val="000000"/>
                <w:sz w:val="20"/>
                <w:szCs w:val="20"/>
              </w:rPr>
            </w:pPr>
            <w:r w:rsidRPr="00F55D31">
              <w:rPr>
                <w:color w:val="000000"/>
                <w:sz w:val="20"/>
                <w:szCs w:val="20"/>
              </w:rPr>
              <w:t xml:space="preserve">    Pārējie remontdarbu un iestāžu uzturēšanas pakalpojumi</w:t>
            </w:r>
          </w:p>
        </w:tc>
        <w:tc>
          <w:tcPr>
            <w:tcW w:w="1701" w:type="dxa"/>
            <w:tcBorders>
              <w:top w:val="nil"/>
              <w:left w:val="single" w:sz="4" w:space="0" w:color="auto"/>
              <w:bottom w:val="single" w:sz="4" w:space="0" w:color="auto"/>
              <w:right w:val="single" w:sz="4" w:space="0" w:color="auto"/>
            </w:tcBorders>
            <w:vAlign w:val="center"/>
          </w:tcPr>
          <w:p w14:paraId="71D11B29" w14:textId="7FCEEFDC" w:rsidR="00427DB1" w:rsidRPr="00427DB1" w:rsidRDefault="00427DB1" w:rsidP="00427DB1">
            <w:pPr>
              <w:jc w:val="right"/>
              <w:rPr>
                <w:sz w:val="20"/>
                <w:szCs w:val="20"/>
              </w:rPr>
            </w:pPr>
            <w:r w:rsidRPr="00427DB1">
              <w:rPr>
                <w:color w:val="000000"/>
                <w:sz w:val="20"/>
                <w:szCs w:val="20"/>
              </w:rPr>
              <w:t>18 790</w:t>
            </w:r>
          </w:p>
        </w:tc>
        <w:tc>
          <w:tcPr>
            <w:tcW w:w="1701" w:type="dxa"/>
            <w:tcBorders>
              <w:top w:val="nil"/>
              <w:left w:val="nil"/>
              <w:bottom w:val="single" w:sz="4" w:space="0" w:color="auto"/>
              <w:right w:val="single" w:sz="4" w:space="0" w:color="auto"/>
            </w:tcBorders>
            <w:vAlign w:val="center"/>
          </w:tcPr>
          <w:p w14:paraId="7E0BDA65" w14:textId="3B8D5E4F" w:rsidR="00427DB1" w:rsidRPr="00427DB1" w:rsidRDefault="00427DB1" w:rsidP="00427DB1">
            <w:pPr>
              <w:jc w:val="right"/>
              <w:rPr>
                <w:sz w:val="20"/>
                <w:szCs w:val="20"/>
              </w:rPr>
            </w:pPr>
            <w:r w:rsidRPr="00427DB1">
              <w:rPr>
                <w:color w:val="000000"/>
                <w:sz w:val="20"/>
                <w:szCs w:val="20"/>
              </w:rPr>
              <w:t>49 621</w:t>
            </w:r>
          </w:p>
        </w:tc>
        <w:tc>
          <w:tcPr>
            <w:tcW w:w="1984" w:type="dxa"/>
            <w:tcBorders>
              <w:top w:val="nil"/>
              <w:left w:val="nil"/>
              <w:bottom w:val="single" w:sz="4" w:space="0" w:color="auto"/>
              <w:right w:val="single" w:sz="4" w:space="0" w:color="auto"/>
            </w:tcBorders>
            <w:vAlign w:val="center"/>
          </w:tcPr>
          <w:p w14:paraId="27C6411D" w14:textId="60FFCDE5" w:rsidR="00427DB1" w:rsidRPr="00427DB1" w:rsidRDefault="00427DB1" w:rsidP="00427DB1">
            <w:pPr>
              <w:jc w:val="right"/>
              <w:rPr>
                <w:color w:val="000000"/>
                <w:sz w:val="20"/>
                <w:szCs w:val="20"/>
              </w:rPr>
            </w:pPr>
            <w:r w:rsidRPr="00427DB1">
              <w:rPr>
                <w:color w:val="000000"/>
                <w:sz w:val="20"/>
                <w:szCs w:val="20"/>
              </w:rPr>
              <w:t>164%</w:t>
            </w:r>
          </w:p>
        </w:tc>
      </w:tr>
    </w:tbl>
    <w:p w14:paraId="147AF26A" w14:textId="77777777" w:rsidR="006E210F" w:rsidRDefault="006E210F" w:rsidP="006E210F">
      <w:pPr>
        <w:spacing w:line="360" w:lineRule="auto"/>
        <w:ind w:firstLine="851"/>
        <w:jc w:val="both"/>
        <w:rPr>
          <w:bCs/>
        </w:rPr>
      </w:pPr>
    </w:p>
    <w:p w14:paraId="4BB28095" w14:textId="75DE25BD" w:rsidR="006E210F" w:rsidRPr="002E77DC" w:rsidRDefault="006E210F" w:rsidP="006E210F">
      <w:pPr>
        <w:spacing w:line="360" w:lineRule="auto"/>
        <w:ind w:firstLine="851"/>
        <w:jc w:val="both"/>
        <w:rPr>
          <w:bCs/>
        </w:rPr>
      </w:pPr>
      <w:r w:rsidRPr="002E77DC">
        <w:rPr>
          <w:bCs/>
        </w:rPr>
        <w:t xml:space="preserve">Maksājumi par komunālajiem pakalpojumiem plānoti </w:t>
      </w:r>
      <w:r>
        <w:rPr>
          <w:bCs/>
        </w:rPr>
        <w:t>2,</w:t>
      </w:r>
      <w:r w:rsidR="00FE75EE">
        <w:rPr>
          <w:bCs/>
        </w:rPr>
        <w:t>320</w:t>
      </w:r>
      <w:r>
        <w:rPr>
          <w:bCs/>
        </w:rPr>
        <w:t xml:space="preserve"> milj.</w:t>
      </w:r>
      <w:r w:rsidRPr="002E77DC">
        <w:rPr>
          <w:bCs/>
        </w:rPr>
        <w:t xml:space="preserve"> </w:t>
      </w:r>
      <w:r w:rsidRPr="002E77DC">
        <w:rPr>
          <w:bCs/>
          <w:i/>
        </w:rPr>
        <w:t>euro</w:t>
      </w:r>
      <w:r w:rsidRPr="002E77DC">
        <w:rPr>
          <w:bCs/>
        </w:rPr>
        <w:t xml:space="preserve">, t.i., </w:t>
      </w:r>
      <w:r w:rsidR="00033D92">
        <w:rPr>
          <w:bCs/>
        </w:rPr>
        <w:t>3,5</w:t>
      </w:r>
      <w:r w:rsidRPr="002E77DC">
        <w:rPr>
          <w:bCs/>
        </w:rPr>
        <w:t xml:space="preserve">% </w:t>
      </w:r>
      <w:r w:rsidR="00033D92">
        <w:rPr>
          <w:bCs/>
        </w:rPr>
        <w:t>vairāk</w:t>
      </w:r>
      <w:r w:rsidRPr="002E77DC">
        <w:rPr>
          <w:bCs/>
        </w:rPr>
        <w:t xml:space="preserve"> kā samaksāts 202</w:t>
      </w:r>
      <w:r w:rsidR="00033D92">
        <w:rPr>
          <w:bCs/>
        </w:rPr>
        <w:t>5</w:t>
      </w:r>
      <w:r w:rsidRPr="002E77DC">
        <w:rPr>
          <w:bCs/>
        </w:rPr>
        <w:t>.</w:t>
      </w:r>
      <w:r w:rsidR="00033D92">
        <w:rPr>
          <w:bCs/>
        </w:rPr>
        <w:t> </w:t>
      </w:r>
      <w:r w:rsidRPr="002E77DC">
        <w:rPr>
          <w:bCs/>
        </w:rPr>
        <w:t>gadā (</w:t>
      </w:r>
      <w:r>
        <w:rPr>
          <w:bCs/>
        </w:rPr>
        <w:t>2,</w:t>
      </w:r>
      <w:r w:rsidR="0006637D">
        <w:rPr>
          <w:bCs/>
        </w:rPr>
        <w:t>241</w:t>
      </w:r>
      <w:r w:rsidRPr="002E77DC">
        <w:rPr>
          <w:bCs/>
        </w:rPr>
        <w:t xml:space="preserve">). Degvielai plānoti </w:t>
      </w:r>
      <w:r>
        <w:rPr>
          <w:bCs/>
        </w:rPr>
        <w:t>1,1</w:t>
      </w:r>
      <w:r w:rsidR="00BE1C4B">
        <w:rPr>
          <w:bCs/>
        </w:rPr>
        <w:t>1</w:t>
      </w:r>
      <w:r>
        <w:rPr>
          <w:bCs/>
        </w:rPr>
        <w:t xml:space="preserve"> milj.</w:t>
      </w:r>
      <w:r w:rsidRPr="002E77DC">
        <w:rPr>
          <w:bCs/>
        </w:rPr>
        <w:t xml:space="preserve"> EUR, iepriekšējā gadā  par </w:t>
      </w:r>
      <w:r w:rsidR="00BE1C4B">
        <w:rPr>
          <w:bCs/>
        </w:rPr>
        <w:t>14</w:t>
      </w:r>
      <w:r w:rsidRPr="002E77DC">
        <w:rPr>
          <w:bCs/>
        </w:rPr>
        <w:t>% izlietots mazāk (</w:t>
      </w:r>
      <w:r w:rsidR="00BE1C4B">
        <w:rPr>
          <w:bCs/>
        </w:rPr>
        <w:t>0</w:t>
      </w:r>
      <w:r>
        <w:rPr>
          <w:bCs/>
        </w:rPr>
        <w:t>,</w:t>
      </w:r>
      <w:r w:rsidR="009C1E75">
        <w:rPr>
          <w:bCs/>
        </w:rPr>
        <w:t>973</w:t>
      </w:r>
      <w:r w:rsidRPr="002E77DC">
        <w:rPr>
          <w:bCs/>
        </w:rPr>
        <w:t xml:space="preserve">), bet kurināmam – </w:t>
      </w:r>
      <w:r w:rsidR="009C1E75" w:rsidRPr="009C1E75">
        <w:rPr>
          <w:bCs/>
        </w:rPr>
        <w:t>416</w:t>
      </w:r>
      <w:r w:rsidR="009C1E75">
        <w:rPr>
          <w:bCs/>
        </w:rPr>
        <w:t> </w:t>
      </w:r>
      <w:r w:rsidR="009C1E75" w:rsidRPr="009C1E75">
        <w:rPr>
          <w:bCs/>
        </w:rPr>
        <w:t>320</w:t>
      </w:r>
      <w:r w:rsidR="009C1E75">
        <w:rPr>
          <w:bCs/>
        </w:rPr>
        <w:t xml:space="preserve"> </w:t>
      </w:r>
      <w:r>
        <w:rPr>
          <w:bCs/>
        </w:rPr>
        <w:t>EUR</w:t>
      </w:r>
      <w:r w:rsidRPr="002E77DC">
        <w:rPr>
          <w:bCs/>
        </w:rPr>
        <w:t xml:space="preserve">, t.i., par </w:t>
      </w:r>
      <w:r w:rsidR="009C1E75">
        <w:rPr>
          <w:bCs/>
        </w:rPr>
        <w:t>36</w:t>
      </w:r>
      <w:r w:rsidRPr="002E77DC">
        <w:rPr>
          <w:bCs/>
        </w:rPr>
        <w:t xml:space="preserve">% </w:t>
      </w:r>
      <w:r>
        <w:rPr>
          <w:bCs/>
        </w:rPr>
        <w:t>vairāk</w:t>
      </w:r>
      <w:r w:rsidRPr="002E77DC">
        <w:rPr>
          <w:bCs/>
        </w:rPr>
        <w:t xml:space="preserve"> nekā iepriekšējā gadā (</w:t>
      </w:r>
      <w:r w:rsidR="00447885" w:rsidRPr="00447885">
        <w:rPr>
          <w:bCs/>
        </w:rPr>
        <w:t>307 010</w:t>
      </w:r>
      <w:r w:rsidRPr="002E77DC">
        <w:rPr>
          <w:bCs/>
        </w:rPr>
        <w:t xml:space="preserve">) </w:t>
      </w:r>
      <w:r>
        <w:rPr>
          <w:bCs/>
        </w:rPr>
        <w:t>, jo pašvaldība kā kurināmo sāk iepirkt gāzi.</w:t>
      </w:r>
    </w:p>
    <w:p w14:paraId="19FBB730" w14:textId="1BBFC790" w:rsidR="006E210F" w:rsidRDefault="006E210F" w:rsidP="006E210F">
      <w:pPr>
        <w:spacing w:line="360" w:lineRule="auto"/>
        <w:ind w:firstLine="851"/>
        <w:jc w:val="both"/>
        <w:rPr>
          <w:bCs/>
        </w:rPr>
      </w:pPr>
      <w:r w:rsidRPr="002E77DC">
        <w:rPr>
          <w:bCs/>
        </w:rPr>
        <w:t>Sociālo pabalstu</w:t>
      </w:r>
      <w:r>
        <w:rPr>
          <w:bCs/>
        </w:rPr>
        <w:t xml:space="preserve"> un kompensāciju</w:t>
      </w:r>
      <w:r w:rsidRPr="002E77DC">
        <w:rPr>
          <w:bCs/>
        </w:rPr>
        <w:t xml:space="preserve"> apmērs kopsummā plānots </w:t>
      </w:r>
      <w:r w:rsidR="00372554" w:rsidRPr="00372554">
        <w:rPr>
          <w:bCs/>
        </w:rPr>
        <w:t>3 504</w:t>
      </w:r>
      <w:r w:rsidR="00372554">
        <w:rPr>
          <w:bCs/>
        </w:rPr>
        <w:t> </w:t>
      </w:r>
      <w:r w:rsidR="00372554" w:rsidRPr="00372554">
        <w:rPr>
          <w:bCs/>
        </w:rPr>
        <w:t>100</w:t>
      </w:r>
      <w:r w:rsidR="00372554">
        <w:rPr>
          <w:bCs/>
        </w:rPr>
        <w:t xml:space="preserve"> </w:t>
      </w:r>
      <w:r w:rsidRPr="002E77DC">
        <w:rPr>
          <w:bCs/>
          <w:i/>
        </w:rPr>
        <w:t>euro</w:t>
      </w:r>
      <w:r w:rsidRPr="002E77DC">
        <w:rPr>
          <w:bCs/>
        </w:rPr>
        <w:t xml:space="preserve">, t.i., par </w:t>
      </w:r>
      <w:r w:rsidR="002D1B21">
        <w:rPr>
          <w:bCs/>
        </w:rPr>
        <w:t>12</w:t>
      </w:r>
      <w:r w:rsidRPr="002E77DC">
        <w:rPr>
          <w:bCs/>
        </w:rPr>
        <w:t xml:space="preserve">% </w:t>
      </w:r>
      <w:r>
        <w:rPr>
          <w:bCs/>
        </w:rPr>
        <w:t xml:space="preserve">vairāk </w:t>
      </w:r>
      <w:r w:rsidRPr="002E77DC">
        <w:rPr>
          <w:bCs/>
        </w:rPr>
        <w:t>kā iepriekšējā gadā</w:t>
      </w:r>
      <w:r>
        <w:rPr>
          <w:bCs/>
        </w:rPr>
        <w:t xml:space="preserve"> (</w:t>
      </w:r>
      <w:r w:rsidR="000A3A5F" w:rsidRPr="000A3A5F">
        <w:rPr>
          <w:bCs/>
        </w:rPr>
        <w:t>3 132 283</w:t>
      </w:r>
      <w:r>
        <w:rPr>
          <w:bCs/>
        </w:rPr>
        <w:t xml:space="preserve">), un tā īpatsvars no kopējiem pamatbudžeta izdevumiem sasniedz </w:t>
      </w:r>
      <w:r w:rsidR="002657CC">
        <w:rPr>
          <w:bCs/>
        </w:rPr>
        <w:t>4,7</w:t>
      </w:r>
      <w:r w:rsidR="007D1C9B">
        <w:rPr>
          <w:bCs/>
        </w:rPr>
        <w:t xml:space="preserve"> </w:t>
      </w:r>
      <w:r>
        <w:rPr>
          <w:bCs/>
        </w:rPr>
        <w:t>%</w:t>
      </w:r>
      <w:r w:rsidRPr="002E77DC">
        <w:rPr>
          <w:bCs/>
        </w:rPr>
        <w:t>.</w:t>
      </w:r>
    </w:p>
    <w:p w14:paraId="68AF64DB" w14:textId="469847FB" w:rsidR="006E210F" w:rsidRPr="00EF2EB6" w:rsidRDefault="006E210F" w:rsidP="006E210F">
      <w:pPr>
        <w:spacing w:line="360" w:lineRule="auto"/>
        <w:ind w:firstLine="851"/>
        <w:jc w:val="both"/>
        <w:rPr>
          <w:bCs/>
        </w:rPr>
      </w:pPr>
      <w:r>
        <w:rPr>
          <w:bCs/>
        </w:rPr>
        <w:t xml:space="preserve">  Dotācijas </w:t>
      </w:r>
      <w:r w:rsidRPr="00EF2EB6">
        <w:rPr>
          <w:bCs/>
        </w:rPr>
        <w:t>komersantiem, biedrībām, nodibinājumiem un fiziskām personām</w:t>
      </w:r>
      <w:r>
        <w:rPr>
          <w:bCs/>
        </w:rPr>
        <w:t xml:space="preserve"> pamatojoties uz domes lēmumiem plānotas </w:t>
      </w:r>
      <w:r w:rsidR="000D7DDA" w:rsidRPr="000D7DDA">
        <w:rPr>
          <w:bCs/>
        </w:rPr>
        <w:t>870</w:t>
      </w:r>
      <w:r w:rsidR="000D7DDA">
        <w:rPr>
          <w:bCs/>
        </w:rPr>
        <w:t> </w:t>
      </w:r>
      <w:r w:rsidR="000D7DDA" w:rsidRPr="000D7DDA">
        <w:rPr>
          <w:bCs/>
        </w:rPr>
        <w:t>290</w:t>
      </w:r>
      <w:r w:rsidR="000D7DDA">
        <w:rPr>
          <w:bCs/>
        </w:rPr>
        <w:t xml:space="preserve"> </w:t>
      </w:r>
      <w:r w:rsidRPr="00EF2EB6">
        <w:rPr>
          <w:bCs/>
          <w:i/>
        </w:rPr>
        <w:t>euro</w:t>
      </w:r>
      <w:r>
        <w:rPr>
          <w:bCs/>
        </w:rPr>
        <w:t xml:space="preserve"> apmērā, kas salīdzinot ar iepriekšējo gadu </w:t>
      </w:r>
      <w:r w:rsidR="00FD4B34">
        <w:rPr>
          <w:bCs/>
        </w:rPr>
        <w:t>ir</w:t>
      </w:r>
      <w:r>
        <w:rPr>
          <w:bCs/>
        </w:rPr>
        <w:t xml:space="preserve"> </w:t>
      </w:r>
      <w:r w:rsidR="00CA5E8D">
        <w:rPr>
          <w:bCs/>
        </w:rPr>
        <w:t>2,3 reizes vairāk kā izsniegts 2025. gad</w:t>
      </w:r>
      <w:r w:rsidR="00FD4B34">
        <w:rPr>
          <w:bCs/>
        </w:rPr>
        <w:t>ā.</w:t>
      </w:r>
    </w:p>
    <w:p w14:paraId="2BBD1D25" w14:textId="5AFE2D7C" w:rsidR="006E210F" w:rsidRPr="002E77DC" w:rsidRDefault="006E210F" w:rsidP="006E210F">
      <w:pPr>
        <w:spacing w:line="360" w:lineRule="auto"/>
        <w:ind w:firstLine="851"/>
        <w:jc w:val="both"/>
        <w:rPr>
          <w:bCs/>
        </w:rPr>
      </w:pPr>
      <w:r>
        <w:rPr>
          <w:bCs/>
        </w:rPr>
        <w:t xml:space="preserve">Aizdevuma procentu maksājumi Valsts kasē plānoti </w:t>
      </w:r>
      <w:r w:rsidR="00DB299F" w:rsidRPr="00DB299F">
        <w:rPr>
          <w:bCs/>
        </w:rPr>
        <w:t>456</w:t>
      </w:r>
      <w:r w:rsidR="00023E1F">
        <w:rPr>
          <w:bCs/>
        </w:rPr>
        <w:t> </w:t>
      </w:r>
      <w:r w:rsidR="00DB299F" w:rsidRPr="00DB299F">
        <w:rPr>
          <w:bCs/>
        </w:rPr>
        <w:t>061</w:t>
      </w:r>
      <w:r w:rsidR="00023E1F">
        <w:rPr>
          <w:bCs/>
        </w:rPr>
        <w:t xml:space="preserve"> </w:t>
      </w:r>
      <w:r>
        <w:rPr>
          <w:bCs/>
        </w:rPr>
        <w:t xml:space="preserve">EUR apmērā, t.i. par </w:t>
      </w:r>
      <w:r w:rsidR="00DB299F">
        <w:rPr>
          <w:bCs/>
        </w:rPr>
        <w:t>28</w:t>
      </w:r>
      <w:r>
        <w:rPr>
          <w:bCs/>
        </w:rPr>
        <w:t>% mazāk kā gadu iepriekš (</w:t>
      </w:r>
      <w:r w:rsidR="003F40C5" w:rsidRPr="003F40C5">
        <w:rPr>
          <w:bCs/>
        </w:rPr>
        <w:t>641 678</w:t>
      </w:r>
      <w:r w:rsidRPr="00EF2EB6">
        <w:rPr>
          <w:bCs/>
        </w:rPr>
        <w:t>)</w:t>
      </w:r>
      <w:r>
        <w:rPr>
          <w:bCs/>
        </w:rPr>
        <w:t>.</w:t>
      </w:r>
    </w:p>
    <w:p w14:paraId="1113EA63" w14:textId="57C3C203" w:rsidR="006E210F" w:rsidRPr="002E77DC" w:rsidRDefault="006E210F" w:rsidP="006E210F">
      <w:pPr>
        <w:spacing w:line="360" w:lineRule="auto"/>
        <w:ind w:firstLine="851"/>
        <w:jc w:val="both"/>
        <w:rPr>
          <w:bCs/>
        </w:rPr>
      </w:pPr>
      <w:r w:rsidRPr="002E77DC">
        <w:rPr>
          <w:bCs/>
        </w:rPr>
        <w:t>Kapitālieguldījumi plānoti 1</w:t>
      </w:r>
      <w:r w:rsidR="00C444EA">
        <w:rPr>
          <w:bCs/>
        </w:rPr>
        <w:t>4,7</w:t>
      </w:r>
      <w:r w:rsidRPr="002E77DC">
        <w:rPr>
          <w:bCs/>
        </w:rPr>
        <w:t xml:space="preserve">% no kopējiem izdevumiem jeb </w:t>
      </w:r>
      <w:r w:rsidR="00C444EA" w:rsidRPr="00C444EA">
        <w:rPr>
          <w:bCs/>
        </w:rPr>
        <w:t>10 989</w:t>
      </w:r>
      <w:r w:rsidR="00C444EA">
        <w:rPr>
          <w:bCs/>
        </w:rPr>
        <w:t> </w:t>
      </w:r>
      <w:r w:rsidR="00C444EA" w:rsidRPr="00C444EA">
        <w:rPr>
          <w:bCs/>
        </w:rPr>
        <w:t>149</w:t>
      </w:r>
      <w:r w:rsidR="00C444EA">
        <w:rPr>
          <w:bCs/>
        </w:rPr>
        <w:t xml:space="preserve"> </w:t>
      </w:r>
      <w:r w:rsidRPr="002E77DC">
        <w:rPr>
          <w:bCs/>
        </w:rPr>
        <w:t xml:space="preserve">EUR un tas ir </w:t>
      </w:r>
      <w:r w:rsidR="00DE2542">
        <w:rPr>
          <w:bCs/>
        </w:rPr>
        <w:t>2</w:t>
      </w:r>
      <w:r w:rsidR="00A64975">
        <w:rPr>
          <w:bCs/>
        </w:rPr>
        <w:t xml:space="preserve"> reizes vairāk</w:t>
      </w:r>
      <w:r w:rsidRPr="002E77DC">
        <w:rPr>
          <w:bCs/>
        </w:rPr>
        <w:t xml:space="preserve"> kā iepriekšējā gadā </w:t>
      </w:r>
      <w:r>
        <w:rPr>
          <w:bCs/>
        </w:rPr>
        <w:t>apgūts</w:t>
      </w:r>
      <w:r w:rsidRPr="002E77DC">
        <w:rPr>
          <w:bCs/>
        </w:rPr>
        <w:t xml:space="preserve"> (</w:t>
      </w:r>
      <w:r w:rsidR="00A64975" w:rsidRPr="00A64975">
        <w:rPr>
          <w:bCs/>
        </w:rPr>
        <w:t>5 402 140</w:t>
      </w:r>
      <w:r w:rsidRPr="002E77DC">
        <w:rPr>
          <w:bCs/>
        </w:rPr>
        <w:t>).</w:t>
      </w:r>
    </w:p>
    <w:p w14:paraId="4413988E" w14:textId="77777777" w:rsidR="006E210F" w:rsidRPr="002E77DC" w:rsidRDefault="006E210F" w:rsidP="006E210F">
      <w:pPr>
        <w:spacing w:line="360" w:lineRule="auto"/>
        <w:ind w:firstLine="851"/>
        <w:jc w:val="both"/>
        <w:rPr>
          <w:bCs/>
        </w:rPr>
      </w:pPr>
      <w:r w:rsidRPr="002E77DC">
        <w:rPr>
          <w:bCs/>
        </w:rPr>
        <w:lastRenderedPageBreak/>
        <w:t>Lielākie kapitālieguldījumu objekti šogad plānoti</w:t>
      </w:r>
      <w:r>
        <w:rPr>
          <w:bCs/>
        </w:rPr>
        <w:t xml:space="preserve"> sekojoši</w:t>
      </w:r>
      <w:r w:rsidRPr="00030BE9">
        <w:rPr>
          <w:bCs/>
        </w:rPr>
        <w:t xml:space="preserve"> </w:t>
      </w:r>
      <w:r w:rsidRPr="002E77DC">
        <w:rPr>
          <w:bCs/>
        </w:rPr>
        <w:t>EUR:</w:t>
      </w:r>
    </w:p>
    <w:tbl>
      <w:tblPr>
        <w:tblW w:w="9072" w:type="dxa"/>
        <w:tblLook w:val="04A0" w:firstRow="1" w:lastRow="0" w:firstColumn="1" w:lastColumn="0" w:noHBand="0" w:noVBand="1"/>
      </w:tblPr>
      <w:tblGrid>
        <w:gridCol w:w="7230"/>
        <w:gridCol w:w="1842"/>
      </w:tblGrid>
      <w:tr w:rsidR="00D85924" w:rsidRPr="00D85924" w14:paraId="68657E6B" w14:textId="77777777" w:rsidTr="00D85924">
        <w:trPr>
          <w:trHeight w:val="312"/>
        </w:trPr>
        <w:tc>
          <w:tcPr>
            <w:tcW w:w="7230" w:type="dxa"/>
            <w:tcBorders>
              <w:top w:val="nil"/>
              <w:left w:val="nil"/>
              <w:bottom w:val="nil"/>
              <w:right w:val="nil"/>
            </w:tcBorders>
            <w:shd w:val="clear" w:color="000000" w:fill="F2F2F2"/>
            <w:noWrap/>
            <w:vAlign w:val="center"/>
            <w:hideMark/>
          </w:tcPr>
          <w:p w14:paraId="6C4D34BC" w14:textId="77777777" w:rsidR="00D85924" w:rsidRPr="00D85924" w:rsidRDefault="00D85924" w:rsidP="00D85924">
            <w:pPr>
              <w:jc w:val="center"/>
              <w:rPr>
                <w:rFonts w:eastAsia="Times New Roman"/>
                <w:b/>
                <w:bCs/>
                <w:color w:val="000000"/>
                <w:lang w:eastAsia="lv-LV"/>
              </w:rPr>
            </w:pPr>
            <w:r w:rsidRPr="00D85924">
              <w:rPr>
                <w:rFonts w:eastAsia="Times New Roman"/>
                <w:b/>
                <w:bCs/>
                <w:color w:val="000000"/>
                <w:lang w:eastAsia="lv-LV"/>
              </w:rPr>
              <w:t>Projekta nosaukums</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ED0854" w14:textId="77777777" w:rsidR="00D85924" w:rsidRPr="00D85924" w:rsidRDefault="00D85924" w:rsidP="00D85924">
            <w:pPr>
              <w:jc w:val="center"/>
              <w:rPr>
                <w:rFonts w:eastAsia="Times New Roman"/>
                <w:b/>
                <w:bCs/>
                <w:color w:val="000000"/>
                <w:lang w:eastAsia="lv-LV"/>
              </w:rPr>
            </w:pPr>
            <w:r w:rsidRPr="00D85924">
              <w:rPr>
                <w:rFonts w:eastAsia="Times New Roman"/>
                <w:b/>
                <w:bCs/>
                <w:color w:val="000000"/>
                <w:lang w:eastAsia="lv-LV"/>
              </w:rPr>
              <w:t>Izdevumi</w:t>
            </w:r>
          </w:p>
        </w:tc>
      </w:tr>
      <w:tr w:rsidR="00D85924" w:rsidRPr="00D85924" w14:paraId="2F9F3462" w14:textId="77777777" w:rsidTr="00D85924">
        <w:trPr>
          <w:trHeight w:val="600"/>
        </w:trPr>
        <w:tc>
          <w:tcPr>
            <w:tcW w:w="7230" w:type="dxa"/>
            <w:tcBorders>
              <w:top w:val="single" w:sz="4" w:space="0" w:color="auto"/>
              <w:left w:val="single" w:sz="4" w:space="0" w:color="auto"/>
              <w:bottom w:val="single" w:sz="4" w:space="0" w:color="auto"/>
              <w:right w:val="single" w:sz="4" w:space="0" w:color="auto"/>
            </w:tcBorders>
            <w:vAlign w:val="bottom"/>
            <w:hideMark/>
          </w:tcPr>
          <w:p w14:paraId="18AFAB09"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Priekules vidusskolas infrastruktūras uzlabošana</w:t>
            </w:r>
          </w:p>
        </w:tc>
        <w:tc>
          <w:tcPr>
            <w:tcW w:w="1842" w:type="dxa"/>
            <w:tcBorders>
              <w:top w:val="nil"/>
              <w:left w:val="nil"/>
              <w:bottom w:val="single" w:sz="4" w:space="0" w:color="auto"/>
              <w:right w:val="single" w:sz="4" w:space="0" w:color="auto"/>
            </w:tcBorders>
            <w:vAlign w:val="bottom"/>
            <w:hideMark/>
          </w:tcPr>
          <w:p w14:paraId="26413BC8"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2 162 891</w:t>
            </w:r>
          </w:p>
        </w:tc>
      </w:tr>
      <w:tr w:rsidR="00D85924" w:rsidRPr="00D85924" w14:paraId="5DF6E798" w14:textId="77777777" w:rsidTr="00D85924">
        <w:trPr>
          <w:trHeight w:val="600"/>
        </w:trPr>
        <w:tc>
          <w:tcPr>
            <w:tcW w:w="7230" w:type="dxa"/>
            <w:tcBorders>
              <w:top w:val="nil"/>
              <w:left w:val="single" w:sz="4" w:space="0" w:color="auto"/>
              <w:bottom w:val="single" w:sz="4" w:space="0" w:color="auto"/>
              <w:right w:val="single" w:sz="4" w:space="0" w:color="auto"/>
            </w:tcBorders>
            <w:vAlign w:val="bottom"/>
            <w:hideMark/>
          </w:tcPr>
          <w:p w14:paraId="09A96D72" w14:textId="2634D35F" w:rsidR="00D85924" w:rsidRPr="00D85924" w:rsidRDefault="00D85924" w:rsidP="00D85924">
            <w:pPr>
              <w:rPr>
                <w:rFonts w:eastAsia="Times New Roman"/>
                <w:color w:val="000000"/>
                <w:lang w:eastAsia="lv-LV"/>
              </w:rPr>
            </w:pPr>
            <w:r w:rsidRPr="00D85924">
              <w:rPr>
                <w:rFonts w:eastAsia="Times New Roman"/>
                <w:color w:val="000000"/>
                <w:lang w:eastAsia="lv-LV"/>
              </w:rPr>
              <w:t xml:space="preserve">Projekts - Uzņēmējdarbībai nepieciešamās infrastruktūras attīstība - </w:t>
            </w:r>
            <w:r w:rsidR="00ED469F" w:rsidRPr="00ED469F">
              <w:rPr>
                <w:rFonts w:eastAsia="Times New Roman"/>
                <w:color w:val="000000"/>
                <w:lang w:eastAsia="lv-LV"/>
              </w:rPr>
              <w:t>(Aizpute, Grobiņa, Priekule)</w:t>
            </w:r>
          </w:p>
        </w:tc>
        <w:tc>
          <w:tcPr>
            <w:tcW w:w="1842" w:type="dxa"/>
            <w:tcBorders>
              <w:top w:val="nil"/>
              <w:left w:val="nil"/>
              <w:bottom w:val="single" w:sz="4" w:space="0" w:color="auto"/>
              <w:right w:val="single" w:sz="4" w:space="0" w:color="auto"/>
            </w:tcBorders>
            <w:vAlign w:val="bottom"/>
            <w:hideMark/>
          </w:tcPr>
          <w:p w14:paraId="43D859B9"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2 099 488</w:t>
            </w:r>
          </w:p>
        </w:tc>
      </w:tr>
      <w:tr w:rsidR="00D85924" w:rsidRPr="00D85924" w14:paraId="4F63429E" w14:textId="77777777" w:rsidTr="00D85924">
        <w:trPr>
          <w:trHeight w:val="600"/>
        </w:trPr>
        <w:tc>
          <w:tcPr>
            <w:tcW w:w="7230" w:type="dxa"/>
            <w:tcBorders>
              <w:top w:val="nil"/>
              <w:left w:val="single" w:sz="4" w:space="0" w:color="auto"/>
              <w:bottom w:val="single" w:sz="4" w:space="0" w:color="auto"/>
              <w:right w:val="single" w:sz="4" w:space="0" w:color="auto"/>
            </w:tcBorders>
            <w:vAlign w:val="bottom"/>
            <w:hideMark/>
          </w:tcPr>
          <w:p w14:paraId="641FA6CE"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Dienas aprūpes centra izveide pensijas vecuma personām (ESF+) - DIENVIDKURZEME</w:t>
            </w:r>
          </w:p>
        </w:tc>
        <w:tc>
          <w:tcPr>
            <w:tcW w:w="1842" w:type="dxa"/>
            <w:tcBorders>
              <w:top w:val="nil"/>
              <w:left w:val="nil"/>
              <w:bottom w:val="single" w:sz="4" w:space="0" w:color="auto"/>
              <w:right w:val="single" w:sz="4" w:space="0" w:color="auto"/>
            </w:tcBorders>
            <w:vAlign w:val="bottom"/>
            <w:hideMark/>
          </w:tcPr>
          <w:p w14:paraId="2D4F1EF4"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754 008</w:t>
            </w:r>
          </w:p>
        </w:tc>
      </w:tr>
      <w:tr w:rsidR="00D85924" w:rsidRPr="00D85924" w14:paraId="3138F07E" w14:textId="77777777" w:rsidTr="00D85924">
        <w:trPr>
          <w:trHeight w:val="600"/>
        </w:trPr>
        <w:tc>
          <w:tcPr>
            <w:tcW w:w="7230" w:type="dxa"/>
            <w:tcBorders>
              <w:top w:val="nil"/>
              <w:left w:val="single" w:sz="4" w:space="0" w:color="auto"/>
              <w:bottom w:val="single" w:sz="4" w:space="0" w:color="auto"/>
              <w:right w:val="single" w:sz="4" w:space="0" w:color="auto"/>
            </w:tcBorders>
            <w:vAlign w:val="bottom"/>
            <w:hideMark/>
          </w:tcPr>
          <w:p w14:paraId="2DFF8848"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ERAF- Sociālo mājokļu (ēku) atjaunošana- DIENVIDKURZEME</w:t>
            </w:r>
          </w:p>
        </w:tc>
        <w:tc>
          <w:tcPr>
            <w:tcW w:w="1842" w:type="dxa"/>
            <w:tcBorders>
              <w:top w:val="nil"/>
              <w:left w:val="nil"/>
              <w:bottom w:val="single" w:sz="4" w:space="0" w:color="auto"/>
              <w:right w:val="single" w:sz="4" w:space="0" w:color="auto"/>
            </w:tcBorders>
            <w:vAlign w:val="bottom"/>
            <w:hideMark/>
          </w:tcPr>
          <w:p w14:paraId="3F1C06AD"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600 000</w:t>
            </w:r>
          </w:p>
        </w:tc>
      </w:tr>
      <w:tr w:rsidR="00D85924" w:rsidRPr="00D85924" w14:paraId="7FD1F7C1" w14:textId="77777777" w:rsidTr="00D85924">
        <w:trPr>
          <w:trHeight w:val="535"/>
        </w:trPr>
        <w:tc>
          <w:tcPr>
            <w:tcW w:w="7230" w:type="dxa"/>
            <w:tcBorders>
              <w:top w:val="nil"/>
              <w:left w:val="single" w:sz="4" w:space="0" w:color="auto"/>
              <w:bottom w:val="single" w:sz="4" w:space="0" w:color="auto"/>
              <w:right w:val="single" w:sz="4" w:space="0" w:color="auto"/>
            </w:tcBorders>
            <w:vAlign w:val="bottom"/>
            <w:hideMark/>
          </w:tcPr>
          <w:p w14:paraId="706EDCD9"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EJZAF - Tirgus ielas pārbūve zivsaimniecības tradīciju saglabāšanai un tūrisma veicināšanai piekrastē - Pāvilosta</w:t>
            </w:r>
          </w:p>
        </w:tc>
        <w:tc>
          <w:tcPr>
            <w:tcW w:w="1842" w:type="dxa"/>
            <w:tcBorders>
              <w:top w:val="nil"/>
              <w:left w:val="nil"/>
              <w:bottom w:val="single" w:sz="4" w:space="0" w:color="auto"/>
              <w:right w:val="single" w:sz="4" w:space="0" w:color="auto"/>
            </w:tcBorders>
            <w:vAlign w:val="bottom"/>
            <w:hideMark/>
          </w:tcPr>
          <w:p w14:paraId="681B712F"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412 341</w:t>
            </w:r>
          </w:p>
        </w:tc>
      </w:tr>
      <w:tr w:rsidR="00D85924" w:rsidRPr="00D85924" w14:paraId="376434FD" w14:textId="77777777" w:rsidTr="00D85924">
        <w:trPr>
          <w:trHeight w:val="685"/>
        </w:trPr>
        <w:tc>
          <w:tcPr>
            <w:tcW w:w="7230" w:type="dxa"/>
            <w:tcBorders>
              <w:top w:val="nil"/>
              <w:left w:val="single" w:sz="4" w:space="0" w:color="auto"/>
              <w:bottom w:val="single" w:sz="4" w:space="0" w:color="auto"/>
              <w:right w:val="single" w:sz="4" w:space="0" w:color="auto"/>
            </w:tcBorders>
            <w:vAlign w:val="bottom"/>
            <w:hideMark/>
          </w:tcPr>
          <w:p w14:paraId="351AA598"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Publisko pakalpojumu un nodarbinātības pieejamības veicināšanas pasākumi cilvēkiem ar funkcionāliem traucējumiem sociālā dienesta ēkās Avotu iela 2, Aizpute - DIENVIDKURZEME</w:t>
            </w:r>
          </w:p>
        </w:tc>
        <w:tc>
          <w:tcPr>
            <w:tcW w:w="1842" w:type="dxa"/>
            <w:tcBorders>
              <w:top w:val="nil"/>
              <w:left w:val="nil"/>
              <w:bottom w:val="single" w:sz="4" w:space="0" w:color="auto"/>
              <w:right w:val="single" w:sz="4" w:space="0" w:color="auto"/>
            </w:tcBorders>
            <w:vAlign w:val="bottom"/>
            <w:hideMark/>
          </w:tcPr>
          <w:p w14:paraId="5A4F8312"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351 808</w:t>
            </w:r>
          </w:p>
        </w:tc>
      </w:tr>
      <w:tr w:rsidR="00D85924" w:rsidRPr="00D85924" w14:paraId="62C65425" w14:textId="77777777" w:rsidTr="00D85924">
        <w:trPr>
          <w:trHeight w:val="285"/>
        </w:trPr>
        <w:tc>
          <w:tcPr>
            <w:tcW w:w="7230" w:type="dxa"/>
            <w:tcBorders>
              <w:top w:val="nil"/>
              <w:left w:val="single" w:sz="4" w:space="0" w:color="auto"/>
              <w:bottom w:val="single" w:sz="4" w:space="0" w:color="auto"/>
              <w:right w:val="single" w:sz="4" w:space="0" w:color="auto"/>
            </w:tcBorders>
            <w:vAlign w:val="bottom"/>
            <w:hideMark/>
          </w:tcPr>
          <w:p w14:paraId="1A519385"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Vaiņodes vidusskolas infrastruktūras uzlabošana</w:t>
            </w:r>
          </w:p>
        </w:tc>
        <w:tc>
          <w:tcPr>
            <w:tcW w:w="1842" w:type="dxa"/>
            <w:tcBorders>
              <w:top w:val="nil"/>
              <w:left w:val="nil"/>
              <w:bottom w:val="single" w:sz="4" w:space="0" w:color="auto"/>
              <w:right w:val="single" w:sz="4" w:space="0" w:color="auto"/>
            </w:tcBorders>
            <w:vAlign w:val="bottom"/>
            <w:hideMark/>
          </w:tcPr>
          <w:p w14:paraId="46952557"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338 060</w:t>
            </w:r>
          </w:p>
        </w:tc>
      </w:tr>
      <w:tr w:rsidR="00D85924" w:rsidRPr="00D85924" w14:paraId="1ACAB118" w14:textId="77777777" w:rsidTr="00D85924">
        <w:trPr>
          <w:trHeight w:val="600"/>
        </w:trPr>
        <w:tc>
          <w:tcPr>
            <w:tcW w:w="7230" w:type="dxa"/>
            <w:tcBorders>
              <w:top w:val="nil"/>
              <w:left w:val="single" w:sz="4" w:space="0" w:color="auto"/>
              <w:bottom w:val="single" w:sz="4" w:space="0" w:color="auto"/>
              <w:right w:val="single" w:sz="4" w:space="0" w:color="auto"/>
            </w:tcBorders>
            <w:vAlign w:val="bottom"/>
            <w:hideMark/>
          </w:tcPr>
          <w:p w14:paraId="6D96EB9A"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Priekules pilsētas tranzīta ielu seguma vienkāršotā atjaunošana 1.kārta - Priekule</w:t>
            </w:r>
          </w:p>
        </w:tc>
        <w:tc>
          <w:tcPr>
            <w:tcW w:w="1842" w:type="dxa"/>
            <w:tcBorders>
              <w:top w:val="nil"/>
              <w:left w:val="nil"/>
              <w:bottom w:val="single" w:sz="4" w:space="0" w:color="auto"/>
              <w:right w:val="single" w:sz="4" w:space="0" w:color="auto"/>
            </w:tcBorders>
            <w:vAlign w:val="bottom"/>
            <w:hideMark/>
          </w:tcPr>
          <w:p w14:paraId="51D95CD1"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251 677</w:t>
            </w:r>
          </w:p>
        </w:tc>
      </w:tr>
      <w:tr w:rsidR="00D85924" w:rsidRPr="00D85924" w14:paraId="4401370A" w14:textId="77777777" w:rsidTr="00D85924">
        <w:trPr>
          <w:trHeight w:val="600"/>
        </w:trPr>
        <w:tc>
          <w:tcPr>
            <w:tcW w:w="7230" w:type="dxa"/>
            <w:tcBorders>
              <w:top w:val="nil"/>
              <w:left w:val="single" w:sz="4" w:space="0" w:color="auto"/>
              <w:bottom w:val="single" w:sz="4" w:space="0" w:color="auto"/>
              <w:right w:val="single" w:sz="4" w:space="0" w:color="auto"/>
            </w:tcBorders>
            <w:vAlign w:val="bottom"/>
            <w:hideMark/>
          </w:tcPr>
          <w:p w14:paraId="6CF8A029"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Sporta infrastruktūras "betona skeitparks" izveide - Aizpute</w:t>
            </w:r>
          </w:p>
        </w:tc>
        <w:tc>
          <w:tcPr>
            <w:tcW w:w="1842" w:type="dxa"/>
            <w:tcBorders>
              <w:top w:val="nil"/>
              <w:left w:val="nil"/>
              <w:bottom w:val="single" w:sz="4" w:space="0" w:color="auto"/>
              <w:right w:val="single" w:sz="4" w:space="0" w:color="auto"/>
            </w:tcBorders>
            <w:vAlign w:val="bottom"/>
            <w:hideMark/>
          </w:tcPr>
          <w:p w14:paraId="192538D0"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196 140</w:t>
            </w:r>
          </w:p>
        </w:tc>
      </w:tr>
      <w:tr w:rsidR="00D85924" w:rsidRPr="00D85924" w14:paraId="72711EDE" w14:textId="77777777" w:rsidTr="00D85924">
        <w:trPr>
          <w:trHeight w:val="600"/>
        </w:trPr>
        <w:tc>
          <w:tcPr>
            <w:tcW w:w="7230" w:type="dxa"/>
            <w:tcBorders>
              <w:top w:val="nil"/>
              <w:left w:val="single" w:sz="4" w:space="0" w:color="auto"/>
              <w:bottom w:val="single" w:sz="4" w:space="0" w:color="auto"/>
              <w:right w:val="single" w:sz="4" w:space="0" w:color="auto"/>
            </w:tcBorders>
            <w:vAlign w:val="bottom"/>
            <w:hideMark/>
          </w:tcPr>
          <w:p w14:paraId="7DA94C4D"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Dienas aprūpes centra izveide pensijas vecuma personām (ESF+) - Aizpute</w:t>
            </w:r>
          </w:p>
        </w:tc>
        <w:tc>
          <w:tcPr>
            <w:tcW w:w="1842" w:type="dxa"/>
            <w:tcBorders>
              <w:top w:val="nil"/>
              <w:left w:val="nil"/>
              <w:bottom w:val="single" w:sz="4" w:space="0" w:color="auto"/>
              <w:right w:val="single" w:sz="4" w:space="0" w:color="auto"/>
            </w:tcBorders>
            <w:vAlign w:val="bottom"/>
            <w:hideMark/>
          </w:tcPr>
          <w:p w14:paraId="62E125B9"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180 662</w:t>
            </w:r>
          </w:p>
        </w:tc>
      </w:tr>
      <w:tr w:rsidR="00D85924" w:rsidRPr="00D85924" w14:paraId="6027D880" w14:textId="77777777" w:rsidTr="00D85924">
        <w:trPr>
          <w:trHeight w:val="900"/>
        </w:trPr>
        <w:tc>
          <w:tcPr>
            <w:tcW w:w="7230" w:type="dxa"/>
            <w:tcBorders>
              <w:top w:val="nil"/>
              <w:left w:val="single" w:sz="4" w:space="0" w:color="auto"/>
              <w:bottom w:val="single" w:sz="4" w:space="0" w:color="auto"/>
              <w:right w:val="single" w:sz="4" w:space="0" w:color="auto"/>
            </w:tcBorders>
            <w:vAlign w:val="bottom"/>
            <w:hideMark/>
          </w:tcPr>
          <w:p w14:paraId="78BA23BB"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Sadarbība starp ugunsdrošības dienestiem, lai stiprinātu katastrofu riska novēršanu un pārvaldību uz Latvijas un Lietuvas robežas- DIENVIDKURZEME</w:t>
            </w:r>
          </w:p>
        </w:tc>
        <w:tc>
          <w:tcPr>
            <w:tcW w:w="1842" w:type="dxa"/>
            <w:tcBorders>
              <w:top w:val="nil"/>
              <w:left w:val="nil"/>
              <w:bottom w:val="single" w:sz="4" w:space="0" w:color="auto"/>
              <w:right w:val="single" w:sz="4" w:space="0" w:color="auto"/>
            </w:tcBorders>
            <w:vAlign w:val="bottom"/>
            <w:hideMark/>
          </w:tcPr>
          <w:p w14:paraId="17F9AB28"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175 503</w:t>
            </w:r>
          </w:p>
        </w:tc>
      </w:tr>
      <w:tr w:rsidR="00D85924" w:rsidRPr="00D85924" w14:paraId="78B334FD" w14:textId="77777777" w:rsidTr="00D85924">
        <w:trPr>
          <w:trHeight w:val="300"/>
        </w:trPr>
        <w:tc>
          <w:tcPr>
            <w:tcW w:w="7230" w:type="dxa"/>
            <w:tcBorders>
              <w:top w:val="nil"/>
              <w:left w:val="single" w:sz="4" w:space="0" w:color="auto"/>
              <w:bottom w:val="single" w:sz="4" w:space="0" w:color="auto"/>
              <w:right w:val="single" w:sz="4" w:space="0" w:color="auto"/>
            </w:tcBorders>
            <w:vAlign w:val="bottom"/>
            <w:hideMark/>
          </w:tcPr>
          <w:p w14:paraId="73A97E77"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Priekules vidusskolas stadiona atjaunošana</w:t>
            </w:r>
          </w:p>
        </w:tc>
        <w:tc>
          <w:tcPr>
            <w:tcW w:w="1842" w:type="dxa"/>
            <w:tcBorders>
              <w:top w:val="nil"/>
              <w:left w:val="nil"/>
              <w:bottom w:val="single" w:sz="4" w:space="0" w:color="auto"/>
              <w:right w:val="single" w:sz="4" w:space="0" w:color="auto"/>
            </w:tcBorders>
            <w:vAlign w:val="bottom"/>
            <w:hideMark/>
          </w:tcPr>
          <w:p w14:paraId="48657E83"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174 566</w:t>
            </w:r>
          </w:p>
        </w:tc>
      </w:tr>
      <w:tr w:rsidR="00D85924" w:rsidRPr="00D85924" w14:paraId="2EF97117" w14:textId="77777777" w:rsidTr="00D85924">
        <w:trPr>
          <w:trHeight w:val="600"/>
        </w:trPr>
        <w:tc>
          <w:tcPr>
            <w:tcW w:w="7230" w:type="dxa"/>
            <w:tcBorders>
              <w:top w:val="nil"/>
              <w:left w:val="single" w:sz="4" w:space="0" w:color="auto"/>
              <w:bottom w:val="single" w:sz="4" w:space="0" w:color="auto"/>
              <w:right w:val="single" w:sz="4" w:space="0" w:color="auto"/>
            </w:tcBorders>
            <w:vAlign w:val="bottom"/>
            <w:hideMark/>
          </w:tcPr>
          <w:p w14:paraId="0E04C01B" w14:textId="33B05640" w:rsidR="00D85924" w:rsidRPr="00D85924" w:rsidRDefault="00D85924" w:rsidP="00D85924">
            <w:pPr>
              <w:rPr>
                <w:rFonts w:eastAsia="Times New Roman"/>
                <w:color w:val="000000"/>
                <w:lang w:eastAsia="lv-LV"/>
              </w:rPr>
            </w:pPr>
            <w:r w:rsidRPr="00D85924">
              <w:rPr>
                <w:rFonts w:eastAsia="Times New Roman"/>
                <w:color w:val="000000"/>
                <w:lang w:eastAsia="lv-LV"/>
              </w:rPr>
              <w:t xml:space="preserve">Projekts - Āra nojumju izveides programma </w:t>
            </w:r>
            <w:r w:rsidR="00CC420D">
              <w:rPr>
                <w:rFonts w:eastAsia="Times New Roman"/>
                <w:color w:val="000000"/>
                <w:lang w:eastAsia="lv-LV"/>
              </w:rPr>
              <w:t>pirmsskolas izglītības iestādēs</w:t>
            </w:r>
          </w:p>
        </w:tc>
        <w:tc>
          <w:tcPr>
            <w:tcW w:w="1842" w:type="dxa"/>
            <w:tcBorders>
              <w:top w:val="nil"/>
              <w:left w:val="nil"/>
              <w:bottom w:val="single" w:sz="4" w:space="0" w:color="auto"/>
              <w:right w:val="single" w:sz="4" w:space="0" w:color="auto"/>
            </w:tcBorders>
            <w:vAlign w:val="bottom"/>
            <w:hideMark/>
          </w:tcPr>
          <w:p w14:paraId="674A7864"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144 172</w:t>
            </w:r>
          </w:p>
        </w:tc>
      </w:tr>
      <w:tr w:rsidR="00D85924" w:rsidRPr="00D85924" w14:paraId="2C37C036" w14:textId="77777777" w:rsidTr="008C66B6">
        <w:trPr>
          <w:trHeight w:val="569"/>
        </w:trPr>
        <w:tc>
          <w:tcPr>
            <w:tcW w:w="7230" w:type="dxa"/>
            <w:tcBorders>
              <w:top w:val="nil"/>
              <w:left w:val="single" w:sz="4" w:space="0" w:color="auto"/>
              <w:bottom w:val="single" w:sz="4" w:space="0" w:color="auto"/>
              <w:right w:val="single" w:sz="4" w:space="0" w:color="auto"/>
            </w:tcBorders>
            <w:vAlign w:val="bottom"/>
            <w:hideMark/>
          </w:tcPr>
          <w:p w14:paraId="3AAB5C32"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Atbalsta pasākumu cilvēkiem ar invaliditāti mājokļu vides pieejamības nodrošināšana DIENVIDKURZEMES novadā</w:t>
            </w:r>
          </w:p>
        </w:tc>
        <w:tc>
          <w:tcPr>
            <w:tcW w:w="1842" w:type="dxa"/>
            <w:tcBorders>
              <w:top w:val="nil"/>
              <w:left w:val="nil"/>
              <w:bottom w:val="single" w:sz="4" w:space="0" w:color="auto"/>
              <w:right w:val="single" w:sz="4" w:space="0" w:color="auto"/>
            </w:tcBorders>
            <w:vAlign w:val="bottom"/>
            <w:hideMark/>
          </w:tcPr>
          <w:p w14:paraId="5AFCB850"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109 424</w:t>
            </w:r>
          </w:p>
        </w:tc>
      </w:tr>
      <w:tr w:rsidR="00D85924" w:rsidRPr="00D85924" w14:paraId="2A297CF4" w14:textId="77777777" w:rsidTr="00D85924">
        <w:trPr>
          <w:trHeight w:val="600"/>
        </w:trPr>
        <w:tc>
          <w:tcPr>
            <w:tcW w:w="7230" w:type="dxa"/>
            <w:tcBorders>
              <w:top w:val="nil"/>
              <w:left w:val="single" w:sz="4" w:space="0" w:color="auto"/>
              <w:bottom w:val="single" w:sz="4" w:space="0" w:color="auto"/>
              <w:right w:val="single" w:sz="4" w:space="0" w:color="auto"/>
            </w:tcBorders>
            <w:vAlign w:val="bottom"/>
            <w:hideMark/>
          </w:tcPr>
          <w:p w14:paraId="71D5A7B6"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Panorāmas maršruta attīstība - DIENVIDKURZEME</w:t>
            </w:r>
          </w:p>
        </w:tc>
        <w:tc>
          <w:tcPr>
            <w:tcW w:w="1842" w:type="dxa"/>
            <w:tcBorders>
              <w:top w:val="nil"/>
              <w:left w:val="nil"/>
              <w:bottom w:val="single" w:sz="4" w:space="0" w:color="auto"/>
              <w:right w:val="single" w:sz="4" w:space="0" w:color="auto"/>
            </w:tcBorders>
            <w:vAlign w:val="bottom"/>
            <w:hideMark/>
          </w:tcPr>
          <w:p w14:paraId="2C8FF7FD"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102 408</w:t>
            </w:r>
          </w:p>
        </w:tc>
      </w:tr>
      <w:tr w:rsidR="00D85924" w:rsidRPr="00D85924" w14:paraId="3D1B307C" w14:textId="77777777" w:rsidTr="00D85924">
        <w:trPr>
          <w:trHeight w:val="300"/>
        </w:trPr>
        <w:tc>
          <w:tcPr>
            <w:tcW w:w="7230" w:type="dxa"/>
            <w:tcBorders>
              <w:top w:val="nil"/>
              <w:left w:val="single" w:sz="4" w:space="0" w:color="auto"/>
              <w:bottom w:val="single" w:sz="4" w:space="0" w:color="auto"/>
              <w:right w:val="single" w:sz="4" w:space="0" w:color="auto"/>
            </w:tcBorders>
            <w:vAlign w:val="bottom"/>
            <w:hideMark/>
          </w:tcPr>
          <w:p w14:paraId="14AB6087" w14:textId="77777777" w:rsidR="00D85924" w:rsidRPr="00D85924" w:rsidRDefault="00D85924" w:rsidP="00D85924">
            <w:pPr>
              <w:rPr>
                <w:rFonts w:eastAsia="Times New Roman"/>
                <w:color w:val="000000"/>
                <w:lang w:eastAsia="lv-LV"/>
              </w:rPr>
            </w:pPr>
            <w:r w:rsidRPr="00D85924">
              <w:rPr>
                <w:rFonts w:eastAsia="Times New Roman"/>
                <w:color w:val="000000"/>
                <w:lang w:eastAsia="lv-LV"/>
              </w:rPr>
              <w:t>Projekts - Pieejami zaļie dzelzceļi Igaunijā un Latvijā</w:t>
            </w:r>
          </w:p>
        </w:tc>
        <w:tc>
          <w:tcPr>
            <w:tcW w:w="1842" w:type="dxa"/>
            <w:tcBorders>
              <w:top w:val="nil"/>
              <w:left w:val="nil"/>
              <w:bottom w:val="single" w:sz="4" w:space="0" w:color="auto"/>
              <w:right w:val="single" w:sz="4" w:space="0" w:color="auto"/>
            </w:tcBorders>
            <w:vAlign w:val="bottom"/>
            <w:hideMark/>
          </w:tcPr>
          <w:p w14:paraId="0DA2E440" w14:textId="77777777" w:rsidR="00D85924" w:rsidRPr="00D85924" w:rsidRDefault="00D85924" w:rsidP="00D85924">
            <w:pPr>
              <w:jc w:val="right"/>
              <w:rPr>
                <w:rFonts w:eastAsia="Times New Roman"/>
                <w:color w:val="000000"/>
                <w:lang w:eastAsia="lv-LV"/>
              </w:rPr>
            </w:pPr>
            <w:r w:rsidRPr="00D85924">
              <w:rPr>
                <w:rFonts w:eastAsia="Times New Roman"/>
                <w:color w:val="000000"/>
                <w:lang w:eastAsia="lv-LV"/>
              </w:rPr>
              <w:t>102 330</w:t>
            </w:r>
          </w:p>
        </w:tc>
      </w:tr>
    </w:tbl>
    <w:p w14:paraId="16334FD5" w14:textId="77777777" w:rsidR="006E210F" w:rsidRDefault="006E210F" w:rsidP="006E210F">
      <w:pPr>
        <w:spacing w:line="360" w:lineRule="auto"/>
        <w:rPr>
          <w:b/>
        </w:rPr>
      </w:pPr>
    </w:p>
    <w:p w14:paraId="549DA575" w14:textId="77777777" w:rsidR="00481693" w:rsidRDefault="00481693" w:rsidP="006E210F">
      <w:pPr>
        <w:spacing w:line="360" w:lineRule="auto"/>
        <w:rPr>
          <w:b/>
        </w:rPr>
      </w:pPr>
    </w:p>
    <w:p w14:paraId="3B09653A" w14:textId="3BA851D0" w:rsidR="006E210F" w:rsidRDefault="00537BD4" w:rsidP="00537BD4">
      <w:pPr>
        <w:spacing w:line="360" w:lineRule="auto"/>
        <w:jc w:val="center"/>
        <w:rPr>
          <w:b/>
        </w:rPr>
      </w:pPr>
      <w:r>
        <w:rPr>
          <w:b/>
        </w:rPr>
        <w:t>Finansēšana</w:t>
      </w:r>
    </w:p>
    <w:p w14:paraId="0E0C1E05" w14:textId="6DBA22AC" w:rsidR="00710FEC" w:rsidRDefault="002C3A99" w:rsidP="002C3A99">
      <w:pPr>
        <w:spacing w:line="360" w:lineRule="auto"/>
        <w:rPr>
          <w:bCs/>
        </w:rPr>
      </w:pPr>
      <w:r>
        <w:rPr>
          <w:b/>
        </w:rPr>
        <w:t xml:space="preserve">      </w:t>
      </w:r>
      <w:r w:rsidR="006B7915">
        <w:rPr>
          <w:bCs/>
        </w:rPr>
        <w:t>Pašvaldības iecer</w:t>
      </w:r>
      <w:r w:rsidR="004A6447">
        <w:rPr>
          <w:bCs/>
        </w:rPr>
        <w:t>ē</w:t>
      </w:r>
      <w:r w:rsidR="000F59AA">
        <w:rPr>
          <w:bCs/>
        </w:rPr>
        <w:t>tiem</w:t>
      </w:r>
      <w:r w:rsidR="004A6447">
        <w:rPr>
          <w:bCs/>
        </w:rPr>
        <w:t xml:space="preserve"> investīciju </w:t>
      </w:r>
      <w:r w:rsidR="000F59AA">
        <w:rPr>
          <w:bCs/>
        </w:rPr>
        <w:t>proj</w:t>
      </w:r>
      <w:r w:rsidR="006C09C7">
        <w:rPr>
          <w:bCs/>
        </w:rPr>
        <w:t>ek</w:t>
      </w:r>
      <w:r w:rsidR="000F59AA">
        <w:rPr>
          <w:bCs/>
        </w:rPr>
        <w:t>tiem</w:t>
      </w:r>
      <w:r w:rsidR="004A6447">
        <w:rPr>
          <w:bCs/>
        </w:rPr>
        <w:t xml:space="preserve"> plānots ņ</w:t>
      </w:r>
      <w:r w:rsidR="000F59AA">
        <w:rPr>
          <w:bCs/>
        </w:rPr>
        <w:t>emt</w:t>
      </w:r>
      <w:r w:rsidR="004A6447">
        <w:rPr>
          <w:bCs/>
        </w:rPr>
        <w:t xml:space="preserve"> aizņ</w:t>
      </w:r>
      <w:r w:rsidR="000F59AA">
        <w:rPr>
          <w:bCs/>
        </w:rPr>
        <w:t>ē</w:t>
      </w:r>
      <w:r w:rsidR="004A6447">
        <w:rPr>
          <w:bCs/>
        </w:rPr>
        <w:t>mu</w:t>
      </w:r>
      <w:r w:rsidR="006C09C7">
        <w:rPr>
          <w:bCs/>
        </w:rPr>
        <w:t>mu</w:t>
      </w:r>
      <w:r w:rsidR="004A6447">
        <w:rPr>
          <w:bCs/>
        </w:rPr>
        <w:t xml:space="preserve"> Valsts kasē, kā arī</w:t>
      </w:r>
      <w:r w:rsidR="006C09C7">
        <w:rPr>
          <w:bCs/>
        </w:rPr>
        <w:t xml:space="preserve"> ES līdzfinansētiem projektiem</w:t>
      </w:r>
      <w:r w:rsidR="00FC209E">
        <w:rPr>
          <w:bCs/>
        </w:rPr>
        <w:t xml:space="preserve"> ar </w:t>
      </w:r>
      <w:r w:rsidR="006C09C7">
        <w:rPr>
          <w:bCs/>
        </w:rPr>
        <w:t xml:space="preserve"> </w:t>
      </w:r>
      <w:r w:rsidR="0016135B">
        <w:rPr>
          <w:bCs/>
        </w:rPr>
        <w:t>saņ</w:t>
      </w:r>
      <w:r w:rsidR="00FC209E">
        <w:rPr>
          <w:bCs/>
        </w:rPr>
        <w:t>emto fondu</w:t>
      </w:r>
      <w:r w:rsidR="004A6447">
        <w:rPr>
          <w:bCs/>
        </w:rPr>
        <w:t xml:space="preserve"> </w:t>
      </w:r>
      <w:r w:rsidR="00FC209E">
        <w:rPr>
          <w:bCs/>
        </w:rPr>
        <w:t xml:space="preserve">līdzfinansējumu </w:t>
      </w:r>
      <w:r w:rsidR="004A6447">
        <w:rPr>
          <w:bCs/>
        </w:rPr>
        <w:t xml:space="preserve">būs jāsedz </w:t>
      </w:r>
      <w:r w:rsidR="00DF6F0A">
        <w:rPr>
          <w:bCs/>
        </w:rPr>
        <w:t xml:space="preserve">aizņemtie  līdzekļi </w:t>
      </w:r>
      <w:r w:rsidR="00FC209E">
        <w:rPr>
          <w:bCs/>
        </w:rPr>
        <w:t>Valsts kasē</w:t>
      </w:r>
      <w:r w:rsidR="001D2A4D">
        <w:rPr>
          <w:bCs/>
        </w:rPr>
        <w:t>, ja tie attiecināmi</w:t>
      </w:r>
      <w:r w:rsidR="004E49B1">
        <w:rPr>
          <w:bCs/>
        </w:rPr>
        <w:t xml:space="preserve"> uz proj</w:t>
      </w:r>
      <w:r w:rsidR="00A220D8">
        <w:rPr>
          <w:bCs/>
        </w:rPr>
        <w:t>ektu.</w:t>
      </w:r>
      <w:r w:rsidR="00610F2C">
        <w:rPr>
          <w:bCs/>
        </w:rPr>
        <w:t xml:space="preserve"> Plānotie kredīta aizņēmumi</w:t>
      </w:r>
      <w:r w:rsidR="00710FEC">
        <w:rPr>
          <w:bCs/>
        </w:rPr>
        <w:t>:</w:t>
      </w:r>
    </w:p>
    <w:tbl>
      <w:tblPr>
        <w:tblStyle w:val="Reatabula"/>
        <w:tblW w:w="0" w:type="auto"/>
        <w:tblLook w:val="04A0" w:firstRow="1" w:lastRow="0" w:firstColumn="1" w:lastColumn="0" w:noHBand="0" w:noVBand="1"/>
      </w:tblPr>
      <w:tblGrid>
        <w:gridCol w:w="5949"/>
        <w:gridCol w:w="1559"/>
        <w:gridCol w:w="1644"/>
      </w:tblGrid>
      <w:tr w:rsidR="00E00E28" w14:paraId="53A748D8" w14:textId="77777777" w:rsidTr="00A220D8">
        <w:tc>
          <w:tcPr>
            <w:tcW w:w="5949" w:type="dxa"/>
            <w:vAlign w:val="center"/>
          </w:tcPr>
          <w:p w14:paraId="291477F0" w14:textId="18D108F9" w:rsidR="00E00E28" w:rsidRPr="00710FEC" w:rsidRDefault="00E00E28" w:rsidP="00A220D8">
            <w:pPr>
              <w:spacing w:line="360" w:lineRule="auto"/>
              <w:jc w:val="center"/>
              <w:rPr>
                <w:bCs/>
              </w:rPr>
            </w:pPr>
            <w:r w:rsidRPr="00710FEC">
              <w:rPr>
                <w:bCs/>
              </w:rPr>
              <w:lastRenderedPageBreak/>
              <w:t>Projekta nosaukums</w:t>
            </w:r>
          </w:p>
        </w:tc>
        <w:tc>
          <w:tcPr>
            <w:tcW w:w="1559" w:type="dxa"/>
          </w:tcPr>
          <w:p w14:paraId="114A097B" w14:textId="565BC3C5" w:rsidR="00E00E28" w:rsidRPr="00F82728" w:rsidRDefault="00E00E28" w:rsidP="006E210F">
            <w:pPr>
              <w:spacing w:line="360" w:lineRule="auto"/>
              <w:rPr>
                <w:bCs/>
              </w:rPr>
            </w:pPr>
            <w:r w:rsidRPr="00F82728">
              <w:rPr>
                <w:bCs/>
              </w:rPr>
              <w:t>Plānot</w:t>
            </w:r>
            <w:r>
              <w:rPr>
                <w:bCs/>
              </w:rPr>
              <w:t xml:space="preserve">ā </w:t>
            </w:r>
            <w:r w:rsidRPr="00F82728">
              <w:rPr>
                <w:bCs/>
              </w:rPr>
              <w:t>aizņēmum</w:t>
            </w:r>
            <w:r>
              <w:rPr>
                <w:bCs/>
              </w:rPr>
              <w:t xml:space="preserve">a summa </w:t>
            </w:r>
            <w:r w:rsidR="000237A6">
              <w:rPr>
                <w:bCs/>
              </w:rPr>
              <w:t>EUR</w:t>
            </w:r>
          </w:p>
        </w:tc>
        <w:tc>
          <w:tcPr>
            <w:tcW w:w="1622" w:type="dxa"/>
          </w:tcPr>
          <w:p w14:paraId="605A7E9C" w14:textId="56DEACD4" w:rsidR="00E00E28" w:rsidRPr="000237A6" w:rsidRDefault="00E00E28" w:rsidP="006E210F">
            <w:pPr>
              <w:spacing w:line="360" w:lineRule="auto"/>
              <w:rPr>
                <w:bCs/>
              </w:rPr>
            </w:pPr>
            <w:r w:rsidRPr="000237A6">
              <w:rPr>
                <w:bCs/>
              </w:rPr>
              <w:t>Plānotā atmaksājamā summa</w:t>
            </w:r>
            <w:r w:rsidR="000237A6">
              <w:rPr>
                <w:bCs/>
              </w:rPr>
              <w:t xml:space="preserve"> EUR</w:t>
            </w:r>
          </w:p>
        </w:tc>
      </w:tr>
      <w:tr w:rsidR="00E00E28" w14:paraId="12DAB7B4" w14:textId="77777777" w:rsidTr="00A220D8">
        <w:tc>
          <w:tcPr>
            <w:tcW w:w="5949" w:type="dxa"/>
          </w:tcPr>
          <w:p w14:paraId="53A256DE" w14:textId="3622527D" w:rsidR="00E00E28" w:rsidRPr="00E00E28" w:rsidRDefault="00E00E28" w:rsidP="006E210F">
            <w:pPr>
              <w:spacing w:line="360" w:lineRule="auto"/>
              <w:rPr>
                <w:bCs/>
              </w:rPr>
            </w:pPr>
            <w:r>
              <w:rPr>
                <w:bCs/>
              </w:rPr>
              <w:t xml:space="preserve">Kopā: </w:t>
            </w:r>
          </w:p>
        </w:tc>
        <w:tc>
          <w:tcPr>
            <w:tcW w:w="1559" w:type="dxa"/>
          </w:tcPr>
          <w:p w14:paraId="15EB58AB" w14:textId="3AA5D8AA" w:rsidR="00E00E28" w:rsidRPr="009F35B9" w:rsidRDefault="00F77330" w:rsidP="006E210F">
            <w:pPr>
              <w:spacing w:line="360" w:lineRule="auto"/>
              <w:rPr>
                <w:bCs/>
              </w:rPr>
            </w:pPr>
            <w:r w:rsidRPr="009F35B9">
              <w:rPr>
                <w:bCs/>
              </w:rPr>
              <w:t>3 504 639</w:t>
            </w:r>
          </w:p>
        </w:tc>
        <w:tc>
          <w:tcPr>
            <w:tcW w:w="1622" w:type="dxa"/>
          </w:tcPr>
          <w:p w14:paraId="00B55FAF" w14:textId="57A3FAA1" w:rsidR="00E00E28" w:rsidRPr="000237A6" w:rsidRDefault="005205D1" w:rsidP="006E210F">
            <w:pPr>
              <w:spacing w:line="360" w:lineRule="auto"/>
              <w:rPr>
                <w:bCs/>
              </w:rPr>
            </w:pPr>
            <w:r w:rsidRPr="005205D1">
              <w:rPr>
                <w:bCs/>
              </w:rPr>
              <w:t>-2 802 235</w:t>
            </w:r>
          </w:p>
        </w:tc>
      </w:tr>
      <w:tr w:rsidR="00E00E28" w:rsidRPr="009F35B9" w14:paraId="332D56CE" w14:textId="77777777" w:rsidTr="00A220D8">
        <w:tc>
          <w:tcPr>
            <w:tcW w:w="5949" w:type="dxa"/>
          </w:tcPr>
          <w:p w14:paraId="6BC63F64" w14:textId="0CF71891" w:rsidR="00E00E28" w:rsidRPr="009F35B9" w:rsidRDefault="00E00E28" w:rsidP="009F35B9">
            <w:pPr>
              <w:spacing w:line="360" w:lineRule="auto"/>
              <w:jc w:val="right"/>
              <w:rPr>
                <w:b/>
                <w:sz w:val="20"/>
                <w:szCs w:val="20"/>
              </w:rPr>
            </w:pPr>
            <w:r w:rsidRPr="009F35B9">
              <w:rPr>
                <w:bCs/>
                <w:sz w:val="20"/>
                <w:szCs w:val="20"/>
              </w:rPr>
              <w:t>Priekules vidusskolas infrastruktūras uzlabošana</w:t>
            </w:r>
          </w:p>
        </w:tc>
        <w:tc>
          <w:tcPr>
            <w:tcW w:w="1559" w:type="dxa"/>
          </w:tcPr>
          <w:p w14:paraId="2F7AD8B7" w14:textId="7DD654D3" w:rsidR="00E00E28" w:rsidRPr="009F35B9" w:rsidRDefault="00F77330" w:rsidP="009F35B9">
            <w:pPr>
              <w:spacing w:line="360" w:lineRule="auto"/>
              <w:jc w:val="right"/>
              <w:rPr>
                <w:bCs/>
                <w:sz w:val="20"/>
                <w:szCs w:val="20"/>
              </w:rPr>
            </w:pPr>
            <w:r w:rsidRPr="009F35B9">
              <w:rPr>
                <w:bCs/>
                <w:sz w:val="20"/>
                <w:szCs w:val="20"/>
              </w:rPr>
              <w:t>1 629 000</w:t>
            </w:r>
          </w:p>
        </w:tc>
        <w:tc>
          <w:tcPr>
            <w:tcW w:w="1622" w:type="dxa"/>
          </w:tcPr>
          <w:p w14:paraId="16D8A1D9" w14:textId="0FF4179D" w:rsidR="00E00E28" w:rsidRPr="009E3861" w:rsidRDefault="009E3861" w:rsidP="009E3861">
            <w:pPr>
              <w:spacing w:line="360" w:lineRule="auto"/>
              <w:jc w:val="right"/>
              <w:rPr>
                <w:bCs/>
                <w:sz w:val="20"/>
                <w:szCs w:val="20"/>
              </w:rPr>
            </w:pPr>
            <w:r w:rsidRPr="009E3861">
              <w:rPr>
                <w:bCs/>
                <w:sz w:val="20"/>
                <w:szCs w:val="20"/>
              </w:rPr>
              <w:t>-900 000</w:t>
            </w:r>
          </w:p>
        </w:tc>
      </w:tr>
      <w:tr w:rsidR="00E00E28" w:rsidRPr="009F35B9" w14:paraId="6A74D33E" w14:textId="77777777" w:rsidTr="00A220D8">
        <w:tc>
          <w:tcPr>
            <w:tcW w:w="5949" w:type="dxa"/>
          </w:tcPr>
          <w:p w14:paraId="6D67F626" w14:textId="2E5AF10E" w:rsidR="00E00E28" w:rsidRPr="009F35B9" w:rsidRDefault="00F77330" w:rsidP="009F35B9">
            <w:pPr>
              <w:spacing w:line="360" w:lineRule="auto"/>
              <w:jc w:val="right"/>
              <w:rPr>
                <w:bCs/>
                <w:sz w:val="20"/>
                <w:szCs w:val="20"/>
              </w:rPr>
            </w:pPr>
            <w:r w:rsidRPr="009F35B9">
              <w:rPr>
                <w:bCs/>
                <w:sz w:val="20"/>
                <w:szCs w:val="20"/>
              </w:rPr>
              <w:t>Uzņēmējdarbībai nepieciešamās infrastruktūras attīstība</w:t>
            </w:r>
          </w:p>
        </w:tc>
        <w:tc>
          <w:tcPr>
            <w:tcW w:w="1559" w:type="dxa"/>
          </w:tcPr>
          <w:p w14:paraId="485AFD6D" w14:textId="3B2E9E5A" w:rsidR="00E00E28" w:rsidRPr="009F35B9" w:rsidRDefault="00F77330" w:rsidP="009F35B9">
            <w:pPr>
              <w:spacing w:line="360" w:lineRule="auto"/>
              <w:jc w:val="right"/>
              <w:rPr>
                <w:bCs/>
                <w:sz w:val="20"/>
                <w:szCs w:val="20"/>
              </w:rPr>
            </w:pPr>
            <w:r w:rsidRPr="009F35B9">
              <w:rPr>
                <w:bCs/>
                <w:sz w:val="20"/>
                <w:szCs w:val="20"/>
              </w:rPr>
              <w:t>500 000</w:t>
            </w:r>
          </w:p>
        </w:tc>
        <w:tc>
          <w:tcPr>
            <w:tcW w:w="1622" w:type="dxa"/>
          </w:tcPr>
          <w:p w14:paraId="65B90E8B" w14:textId="77777777" w:rsidR="00E00E28" w:rsidRPr="009E3861" w:rsidRDefault="00E00E28" w:rsidP="009E3861">
            <w:pPr>
              <w:spacing w:line="360" w:lineRule="auto"/>
              <w:jc w:val="right"/>
              <w:rPr>
                <w:bCs/>
                <w:sz w:val="20"/>
                <w:szCs w:val="20"/>
              </w:rPr>
            </w:pPr>
          </w:p>
        </w:tc>
      </w:tr>
      <w:tr w:rsidR="0067575B" w:rsidRPr="009F35B9" w14:paraId="3221F166" w14:textId="77777777" w:rsidTr="00A220D8">
        <w:tc>
          <w:tcPr>
            <w:tcW w:w="5949" w:type="dxa"/>
          </w:tcPr>
          <w:p w14:paraId="60D5406C" w14:textId="05FC1DED" w:rsidR="0067575B" w:rsidRPr="009F35B9" w:rsidRDefault="0067575B" w:rsidP="009F35B9">
            <w:pPr>
              <w:spacing w:line="360" w:lineRule="auto"/>
              <w:jc w:val="right"/>
              <w:rPr>
                <w:bCs/>
                <w:sz w:val="20"/>
                <w:szCs w:val="20"/>
              </w:rPr>
            </w:pPr>
            <w:r w:rsidRPr="009F35B9">
              <w:rPr>
                <w:bCs/>
                <w:sz w:val="20"/>
                <w:szCs w:val="20"/>
              </w:rPr>
              <w:t>Dienas aprūpes centra izveide pensijas vecuma personām (ESF+)</w:t>
            </w:r>
          </w:p>
        </w:tc>
        <w:tc>
          <w:tcPr>
            <w:tcW w:w="1559" w:type="dxa"/>
          </w:tcPr>
          <w:p w14:paraId="70155DE7" w14:textId="1D1F31FB" w:rsidR="0067575B" w:rsidRPr="009F35B9" w:rsidRDefault="00745C56" w:rsidP="009F35B9">
            <w:pPr>
              <w:spacing w:line="360" w:lineRule="auto"/>
              <w:jc w:val="right"/>
              <w:rPr>
                <w:bCs/>
                <w:sz w:val="20"/>
                <w:szCs w:val="20"/>
              </w:rPr>
            </w:pPr>
            <w:r w:rsidRPr="009F35B9">
              <w:rPr>
                <w:bCs/>
                <w:sz w:val="20"/>
                <w:szCs w:val="20"/>
              </w:rPr>
              <w:t>464 644</w:t>
            </w:r>
          </w:p>
        </w:tc>
        <w:tc>
          <w:tcPr>
            <w:tcW w:w="1622" w:type="dxa"/>
          </w:tcPr>
          <w:p w14:paraId="7EC04B9E" w14:textId="77777777" w:rsidR="0067575B" w:rsidRPr="009E3861" w:rsidRDefault="0067575B" w:rsidP="009E3861">
            <w:pPr>
              <w:spacing w:line="360" w:lineRule="auto"/>
              <w:jc w:val="right"/>
              <w:rPr>
                <w:bCs/>
                <w:sz w:val="20"/>
                <w:szCs w:val="20"/>
              </w:rPr>
            </w:pPr>
          </w:p>
        </w:tc>
      </w:tr>
      <w:tr w:rsidR="00745C56" w:rsidRPr="009F35B9" w14:paraId="228DCC4D" w14:textId="77777777" w:rsidTr="00A220D8">
        <w:tc>
          <w:tcPr>
            <w:tcW w:w="5949" w:type="dxa"/>
          </w:tcPr>
          <w:p w14:paraId="6DE38E2F" w14:textId="768380DA" w:rsidR="00745C56" w:rsidRPr="009F35B9" w:rsidRDefault="00745C56" w:rsidP="009F35B9">
            <w:pPr>
              <w:spacing w:line="360" w:lineRule="auto"/>
              <w:jc w:val="right"/>
              <w:rPr>
                <w:bCs/>
                <w:sz w:val="20"/>
                <w:szCs w:val="20"/>
              </w:rPr>
            </w:pPr>
            <w:r w:rsidRPr="009F35B9">
              <w:rPr>
                <w:bCs/>
                <w:sz w:val="20"/>
                <w:szCs w:val="20"/>
              </w:rPr>
              <w:t>ERAF- Sociālo mājokļu (ēku) atjaunošana</w:t>
            </w:r>
          </w:p>
        </w:tc>
        <w:tc>
          <w:tcPr>
            <w:tcW w:w="1559" w:type="dxa"/>
          </w:tcPr>
          <w:p w14:paraId="4DD2992F" w14:textId="527D1AB8" w:rsidR="00745C56" w:rsidRPr="009F35B9" w:rsidRDefault="00745C56" w:rsidP="009F35B9">
            <w:pPr>
              <w:spacing w:line="360" w:lineRule="auto"/>
              <w:jc w:val="right"/>
              <w:rPr>
                <w:bCs/>
                <w:sz w:val="20"/>
                <w:szCs w:val="20"/>
              </w:rPr>
            </w:pPr>
            <w:r w:rsidRPr="009F35B9">
              <w:rPr>
                <w:bCs/>
                <w:sz w:val="20"/>
                <w:szCs w:val="20"/>
              </w:rPr>
              <w:t>300 000</w:t>
            </w:r>
          </w:p>
        </w:tc>
        <w:tc>
          <w:tcPr>
            <w:tcW w:w="1622" w:type="dxa"/>
          </w:tcPr>
          <w:p w14:paraId="234B8082" w14:textId="77777777" w:rsidR="00745C56" w:rsidRPr="009E3861" w:rsidRDefault="00745C56" w:rsidP="009E3861">
            <w:pPr>
              <w:spacing w:line="360" w:lineRule="auto"/>
              <w:jc w:val="right"/>
              <w:rPr>
                <w:bCs/>
                <w:sz w:val="20"/>
                <w:szCs w:val="20"/>
              </w:rPr>
            </w:pPr>
          </w:p>
        </w:tc>
      </w:tr>
      <w:tr w:rsidR="00745C56" w:rsidRPr="009F35B9" w14:paraId="16334AA1" w14:textId="77777777" w:rsidTr="00A220D8">
        <w:tc>
          <w:tcPr>
            <w:tcW w:w="5949" w:type="dxa"/>
          </w:tcPr>
          <w:p w14:paraId="6AAB9125" w14:textId="2ED093CD" w:rsidR="00745C56" w:rsidRPr="009F35B9" w:rsidRDefault="00F702E5" w:rsidP="009F35B9">
            <w:pPr>
              <w:spacing w:line="360" w:lineRule="auto"/>
              <w:jc w:val="right"/>
              <w:rPr>
                <w:bCs/>
                <w:sz w:val="20"/>
                <w:szCs w:val="20"/>
              </w:rPr>
            </w:pPr>
            <w:r w:rsidRPr="009F35B9">
              <w:rPr>
                <w:bCs/>
                <w:sz w:val="20"/>
                <w:szCs w:val="20"/>
              </w:rPr>
              <w:t>EJZAF - Tirgus ielas pārbūve zivsaimniecības tradīciju saglabāšanai un tūrisma veicināšanai piekrastē - Pāvilosta</w:t>
            </w:r>
          </w:p>
        </w:tc>
        <w:tc>
          <w:tcPr>
            <w:tcW w:w="1559" w:type="dxa"/>
          </w:tcPr>
          <w:p w14:paraId="52EC37D2" w14:textId="5E1BFC5B" w:rsidR="00745C56" w:rsidRPr="009F35B9" w:rsidRDefault="00F702E5" w:rsidP="009F35B9">
            <w:pPr>
              <w:spacing w:line="360" w:lineRule="auto"/>
              <w:jc w:val="right"/>
              <w:rPr>
                <w:bCs/>
                <w:sz w:val="20"/>
                <w:szCs w:val="20"/>
              </w:rPr>
            </w:pPr>
            <w:r w:rsidRPr="009F35B9">
              <w:rPr>
                <w:bCs/>
                <w:sz w:val="20"/>
                <w:szCs w:val="20"/>
              </w:rPr>
              <w:t>299 381</w:t>
            </w:r>
          </w:p>
        </w:tc>
        <w:tc>
          <w:tcPr>
            <w:tcW w:w="1622" w:type="dxa"/>
          </w:tcPr>
          <w:p w14:paraId="4B264509" w14:textId="77777777" w:rsidR="00745C56" w:rsidRPr="009E3861" w:rsidRDefault="00745C56" w:rsidP="009E3861">
            <w:pPr>
              <w:spacing w:line="360" w:lineRule="auto"/>
              <w:jc w:val="right"/>
              <w:rPr>
                <w:bCs/>
                <w:sz w:val="20"/>
                <w:szCs w:val="20"/>
              </w:rPr>
            </w:pPr>
          </w:p>
        </w:tc>
      </w:tr>
      <w:tr w:rsidR="00F702E5" w:rsidRPr="009F35B9" w14:paraId="509A7365" w14:textId="77777777" w:rsidTr="00A220D8">
        <w:tc>
          <w:tcPr>
            <w:tcW w:w="5949" w:type="dxa"/>
          </w:tcPr>
          <w:p w14:paraId="225702AD" w14:textId="7D9B7412" w:rsidR="00F702E5" w:rsidRPr="009F35B9" w:rsidRDefault="00F702E5" w:rsidP="009F35B9">
            <w:pPr>
              <w:spacing w:line="360" w:lineRule="auto"/>
              <w:jc w:val="right"/>
              <w:rPr>
                <w:bCs/>
                <w:sz w:val="20"/>
                <w:szCs w:val="20"/>
              </w:rPr>
            </w:pPr>
            <w:r w:rsidRPr="009F35B9">
              <w:rPr>
                <w:bCs/>
                <w:sz w:val="20"/>
                <w:szCs w:val="20"/>
              </w:rPr>
              <w:t>Publisko pakalpojumu un nodarbinātības pieejamības veicināšanas pasākumi cilvēkiem ar funkcionāliem traucējumiem sociālā dienesta ēkās Avotu iela 2, Aizpute</w:t>
            </w:r>
          </w:p>
        </w:tc>
        <w:tc>
          <w:tcPr>
            <w:tcW w:w="1559" w:type="dxa"/>
          </w:tcPr>
          <w:p w14:paraId="7F0E742C" w14:textId="6F201B4C" w:rsidR="00F702E5" w:rsidRPr="009F35B9" w:rsidRDefault="006E6BEB" w:rsidP="009F35B9">
            <w:pPr>
              <w:spacing w:line="360" w:lineRule="auto"/>
              <w:jc w:val="right"/>
              <w:rPr>
                <w:bCs/>
                <w:sz w:val="20"/>
                <w:szCs w:val="20"/>
              </w:rPr>
            </w:pPr>
            <w:r w:rsidRPr="009F35B9">
              <w:rPr>
                <w:bCs/>
                <w:sz w:val="20"/>
                <w:szCs w:val="20"/>
              </w:rPr>
              <w:t>241 443</w:t>
            </w:r>
          </w:p>
        </w:tc>
        <w:tc>
          <w:tcPr>
            <w:tcW w:w="1622" w:type="dxa"/>
          </w:tcPr>
          <w:p w14:paraId="688BA734" w14:textId="77777777" w:rsidR="00F702E5" w:rsidRPr="009E3861" w:rsidRDefault="00F702E5" w:rsidP="009E3861">
            <w:pPr>
              <w:spacing w:line="360" w:lineRule="auto"/>
              <w:jc w:val="right"/>
              <w:rPr>
                <w:bCs/>
                <w:sz w:val="20"/>
                <w:szCs w:val="20"/>
              </w:rPr>
            </w:pPr>
          </w:p>
        </w:tc>
      </w:tr>
      <w:tr w:rsidR="006E6BEB" w:rsidRPr="009F35B9" w14:paraId="6E6ECA6C" w14:textId="77777777" w:rsidTr="00A220D8">
        <w:tc>
          <w:tcPr>
            <w:tcW w:w="5949" w:type="dxa"/>
          </w:tcPr>
          <w:p w14:paraId="21B54F51" w14:textId="79877077" w:rsidR="006E6BEB" w:rsidRPr="009F35B9" w:rsidRDefault="006E6BEB" w:rsidP="009F35B9">
            <w:pPr>
              <w:spacing w:line="360" w:lineRule="auto"/>
              <w:jc w:val="right"/>
              <w:rPr>
                <w:bCs/>
                <w:sz w:val="20"/>
                <w:szCs w:val="20"/>
              </w:rPr>
            </w:pPr>
            <w:r w:rsidRPr="009F35B9">
              <w:rPr>
                <w:bCs/>
                <w:sz w:val="20"/>
                <w:szCs w:val="20"/>
              </w:rPr>
              <w:t>Durbes stadiona atjaunošana un ģērbtuves/inventāra uzglabāšanas telpas novietošana, Zāļu iela 2, Durbe</w:t>
            </w:r>
          </w:p>
        </w:tc>
        <w:tc>
          <w:tcPr>
            <w:tcW w:w="1559" w:type="dxa"/>
          </w:tcPr>
          <w:p w14:paraId="43B0961D" w14:textId="5CC73B06" w:rsidR="006E6BEB" w:rsidRPr="009F35B9" w:rsidRDefault="009F35B9" w:rsidP="009F35B9">
            <w:pPr>
              <w:spacing w:line="360" w:lineRule="auto"/>
              <w:jc w:val="right"/>
              <w:rPr>
                <w:bCs/>
                <w:sz w:val="20"/>
                <w:szCs w:val="20"/>
              </w:rPr>
            </w:pPr>
            <w:r w:rsidRPr="009F35B9">
              <w:rPr>
                <w:bCs/>
                <w:sz w:val="20"/>
                <w:szCs w:val="20"/>
              </w:rPr>
              <w:t>70 171</w:t>
            </w:r>
          </w:p>
        </w:tc>
        <w:tc>
          <w:tcPr>
            <w:tcW w:w="1622" w:type="dxa"/>
          </w:tcPr>
          <w:p w14:paraId="687BBF82" w14:textId="3A3447C1" w:rsidR="006E6BEB" w:rsidRPr="009E3861" w:rsidRDefault="00752155" w:rsidP="009E3861">
            <w:pPr>
              <w:spacing w:line="360" w:lineRule="auto"/>
              <w:jc w:val="right"/>
              <w:rPr>
                <w:bCs/>
                <w:sz w:val="20"/>
                <w:szCs w:val="20"/>
              </w:rPr>
            </w:pPr>
            <w:r w:rsidRPr="009E3861">
              <w:rPr>
                <w:bCs/>
                <w:sz w:val="20"/>
                <w:szCs w:val="20"/>
              </w:rPr>
              <w:t>-52 500</w:t>
            </w:r>
          </w:p>
        </w:tc>
      </w:tr>
      <w:tr w:rsidR="001F312D" w:rsidRPr="009F35B9" w14:paraId="46F0A93C" w14:textId="77777777" w:rsidTr="00A220D8">
        <w:tc>
          <w:tcPr>
            <w:tcW w:w="5949" w:type="dxa"/>
          </w:tcPr>
          <w:p w14:paraId="4370050C" w14:textId="71AF9D17" w:rsidR="001F312D" w:rsidRPr="009F35B9" w:rsidRDefault="00752155" w:rsidP="009F35B9">
            <w:pPr>
              <w:spacing w:line="360" w:lineRule="auto"/>
              <w:jc w:val="right"/>
              <w:rPr>
                <w:bCs/>
                <w:sz w:val="20"/>
                <w:szCs w:val="20"/>
              </w:rPr>
            </w:pPr>
            <w:r w:rsidRPr="00752155">
              <w:rPr>
                <w:bCs/>
                <w:sz w:val="20"/>
                <w:szCs w:val="20"/>
              </w:rPr>
              <w:t>Lietus ūdens kanalizācijas izbūve Liepājas ielas mikrorajons - Priekule</w:t>
            </w:r>
          </w:p>
        </w:tc>
        <w:tc>
          <w:tcPr>
            <w:tcW w:w="1559" w:type="dxa"/>
          </w:tcPr>
          <w:p w14:paraId="3B7E63CB" w14:textId="77777777" w:rsidR="001F312D" w:rsidRPr="009F35B9" w:rsidRDefault="001F312D" w:rsidP="009F35B9">
            <w:pPr>
              <w:spacing w:line="360" w:lineRule="auto"/>
              <w:jc w:val="right"/>
              <w:rPr>
                <w:bCs/>
                <w:sz w:val="20"/>
                <w:szCs w:val="20"/>
              </w:rPr>
            </w:pPr>
          </w:p>
        </w:tc>
        <w:tc>
          <w:tcPr>
            <w:tcW w:w="1622" w:type="dxa"/>
          </w:tcPr>
          <w:p w14:paraId="7AC732B1" w14:textId="41397DE1" w:rsidR="001F312D" w:rsidRPr="009E3861" w:rsidRDefault="00752155" w:rsidP="009E3861">
            <w:pPr>
              <w:spacing w:line="360" w:lineRule="auto"/>
              <w:jc w:val="right"/>
              <w:rPr>
                <w:bCs/>
                <w:sz w:val="20"/>
                <w:szCs w:val="20"/>
              </w:rPr>
            </w:pPr>
            <w:r w:rsidRPr="009E3861">
              <w:rPr>
                <w:bCs/>
                <w:sz w:val="20"/>
                <w:szCs w:val="20"/>
              </w:rPr>
              <w:t>-47 634</w:t>
            </w:r>
          </w:p>
        </w:tc>
      </w:tr>
      <w:tr w:rsidR="006C24BF" w:rsidRPr="009F35B9" w14:paraId="60183808" w14:textId="77777777" w:rsidTr="00A220D8">
        <w:tc>
          <w:tcPr>
            <w:tcW w:w="5949" w:type="dxa"/>
          </w:tcPr>
          <w:p w14:paraId="12A6673E" w14:textId="223A9A75" w:rsidR="006C24BF" w:rsidRPr="009F35B9" w:rsidRDefault="006C24BF" w:rsidP="009F35B9">
            <w:pPr>
              <w:spacing w:line="360" w:lineRule="auto"/>
              <w:jc w:val="right"/>
              <w:rPr>
                <w:bCs/>
                <w:sz w:val="20"/>
                <w:szCs w:val="20"/>
              </w:rPr>
            </w:pPr>
            <w:r>
              <w:rPr>
                <w:bCs/>
                <w:sz w:val="20"/>
                <w:szCs w:val="20"/>
              </w:rPr>
              <w:t xml:space="preserve">Iepriekšējo gadu aizņēmumu pamatsummas </w:t>
            </w:r>
            <w:r w:rsidR="001F312D">
              <w:rPr>
                <w:bCs/>
                <w:sz w:val="20"/>
                <w:szCs w:val="20"/>
              </w:rPr>
              <w:t>atmaksa pēc g</w:t>
            </w:r>
            <w:r w:rsidR="009E3861">
              <w:rPr>
                <w:bCs/>
                <w:sz w:val="20"/>
                <w:szCs w:val="20"/>
              </w:rPr>
              <w:t>r</w:t>
            </w:r>
            <w:r w:rsidR="001F312D">
              <w:rPr>
                <w:bCs/>
                <w:sz w:val="20"/>
                <w:szCs w:val="20"/>
              </w:rPr>
              <w:t>afika</w:t>
            </w:r>
          </w:p>
        </w:tc>
        <w:tc>
          <w:tcPr>
            <w:tcW w:w="1559" w:type="dxa"/>
          </w:tcPr>
          <w:p w14:paraId="14D36FBF" w14:textId="77777777" w:rsidR="006C24BF" w:rsidRPr="009F35B9" w:rsidRDefault="006C24BF" w:rsidP="009F35B9">
            <w:pPr>
              <w:spacing w:line="360" w:lineRule="auto"/>
              <w:jc w:val="right"/>
              <w:rPr>
                <w:bCs/>
                <w:sz w:val="20"/>
                <w:szCs w:val="20"/>
              </w:rPr>
            </w:pPr>
          </w:p>
        </w:tc>
        <w:tc>
          <w:tcPr>
            <w:tcW w:w="1622" w:type="dxa"/>
          </w:tcPr>
          <w:p w14:paraId="0E72AB09" w14:textId="1BE5954D" w:rsidR="006C24BF" w:rsidRPr="009E3861" w:rsidRDefault="001F312D" w:rsidP="009E3861">
            <w:pPr>
              <w:spacing w:line="360" w:lineRule="auto"/>
              <w:jc w:val="right"/>
              <w:rPr>
                <w:bCs/>
                <w:sz w:val="20"/>
                <w:szCs w:val="20"/>
              </w:rPr>
            </w:pPr>
            <w:r w:rsidRPr="009E3861">
              <w:rPr>
                <w:bCs/>
                <w:sz w:val="20"/>
                <w:szCs w:val="20"/>
              </w:rPr>
              <w:t>-1 802 101</w:t>
            </w:r>
          </w:p>
        </w:tc>
      </w:tr>
    </w:tbl>
    <w:p w14:paraId="460092E4" w14:textId="77777777" w:rsidR="006E210F" w:rsidRDefault="006E210F" w:rsidP="009F35B9">
      <w:pPr>
        <w:spacing w:line="360" w:lineRule="auto"/>
        <w:jc w:val="right"/>
        <w:rPr>
          <w:b/>
          <w:sz w:val="20"/>
          <w:szCs w:val="20"/>
        </w:rPr>
      </w:pPr>
    </w:p>
    <w:p w14:paraId="603BDDCC" w14:textId="77777777" w:rsidR="00495381" w:rsidRPr="009F35B9" w:rsidRDefault="00495381" w:rsidP="009F35B9">
      <w:pPr>
        <w:spacing w:line="360" w:lineRule="auto"/>
        <w:jc w:val="right"/>
        <w:rPr>
          <w:b/>
          <w:sz w:val="20"/>
          <w:szCs w:val="20"/>
        </w:rPr>
      </w:pPr>
    </w:p>
    <w:p w14:paraId="498A6197" w14:textId="77777777" w:rsidR="006E210F" w:rsidRDefault="006E210F" w:rsidP="006E210F">
      <w:pPr>
        <w:spacing w:line="360" w:lineRule="auto"/>
        <w:ind w:firstLine="840"/>
        <w:jc w:val="center"/>
        <w:rPr>
          <w:b/>
        </w:rPr>
      </w:pPr>
      <w:r>
        <w:rPr>
          <w:b/>
        </w:rPr>
        <w:t>Ziedojumi un dāvinājumi</w:t>
      </w:r>
    </w:p>
    <w:p w14:paraId="5CCEB512" w14:textId="18B48B9D" w:rsidR="006E210F" w:rsidRDefault="006E210F" w:rsidP="003E28E5">
      <w:pPr>
        <w:spacing w:line="360" w:lineRule="auto"/>
        <w:ind w:firstLine="840"/>
      </w:pPr>
      <w:r>
        <w:t>Ziedojumu ieņēmumi 202</w:t>
      </w:r>
      <w:r w:rsidR="005532AB">
        <w:t>6</w:t>
      </w:r>
      <w:r>
        <w:t>.</w:t>
      </w:r>
      <w:r w:rsidR="003E28E5">
        <w:t xml:space="preserve"> </w:t>
      </w:r>
      <w:r>
        <w:t xml:space="preserve">gadam plānoti </w:t>
      </w:r>
      <w:r w:rsidR="00CB276C">
        <w:t>2</w:t>
      </w:r>
      <w:r w:rsidR="005F5F53">
        <w:t xml:space="preserve"> </w:t>
      </w:r>
      <w:r>
        <w:t xml:space="preserve">500 EUR apmērā, kas paredzēti </w:t>
      </w:r>
      <w:r w:rsidR="00F05823">
        <w:t xml:space="preserve">Māteru </w:t>
      </w:r>
      <w:r w:rsidR="00CB276C">
        <w:t xml:space="preserve">Jura </w:t>
      </w:r>
      <w:r>
        <w:t xml:space="preserve"> </w:t>
      </w:r>
      <w:r w:rsidR="00F05823">
        <w:t>Kazdangas pamatskolas izglītojamo ēd</w:t>
      </w:r>
      <w:r w:rsidR="00F65D8B">
        <w:t>ināša</w:t>
      </w:r>
      <w:r w:rsidR="007E0A85">
        <w:t>nai</w:t>
      </w:r>
      <w:r>
        <w:t>. Kopējie ziedojumu</w:t>
      </w:r>
      <w:r w:rsidR="003E28E5">
        <w:t xml:space="preserve"> </w:t>
      </w:r>
      <w:r>
        <w:t>izdevumi plānoti 1</w:t>
      </w:r>
      <w:r w:rsidR="007E0A85">
        <w:t>5</w:t>
      </w:r>
      <w:r>
        <w:t xml:space="preserve"> 9</w:t>
      </w:r>
      <w:r w:rsidR="007E0A85">
        <w:t>00</w:t>
      </w:r>
      <w:r>
        <w:t xml:space="preserve"> EUR apmērā. Ziedojumu kontā ir naudas līdzekļu atlikumi</w:t>
      </w:r>
      <w:r w:rsidRPr="00032BCB">
        <w:t xml:space="preserve"> </w:t>
      </w:r>
      <w:r>
        <w:t>pašvaldības iestādēm pēc ziedotāju mērķiem</w:t>
      </w:r>
      <w:r w:rsidRPr="00C92D5A">
        <w:rPr>
          <w:rFonts w:eastAsia="Calibri"/>
        </w:rPr>
        <w:t xml:space="preserve"> 1</w:t>
      </w:r>
      <w:r w:rsidR="007E0A85">
        <w:rPr>
          <w:rFonts w:eastAsia="Calibri"/>
        </w:rPr>
        <w:t>3</w:t>
      </w:r>
      <w:r>
        <w:rPr>
          <w:rFonts w:eastAsia="Calibri"/>
        </w:rPr>
        <w:t> </w:t>
      </w:r>
      <w:r w:rsidRPr="00C92D5A">
        <w:rPr>
          <w:rFonts w:eastAsia="Calibri"/>
        </w:rPr>
        <w:t>4</w:t>
      </w:r>
      <w:r w:rsidR="007E0A85">
        <w:rPr>
          <w:rFonts w:eastAsia="Calibri"/>
        </w:rPr>
        <w:t>00</w:t>
      </w:r>
      <w:r>
        <w:rPr>
          <w:rFonts w:eastAsia="Calibri"/>
        </w:rPr>
        <w:t xml:space="preserve"> EUR apmērā</w:t>
      </w:r>
      <w:r>
        <w:t>. Tie ir sekojoši:</w:t>
      </w:r>
    </w:p>
    <w:tbl>
      <w:tblPr>
        <w:tblStyle w:val="Reatabula"/>
        <w:tblW w:w="0" w:type="auto"/>
        <w:tblLook w:val="04A0" w:firstRow="1" w:lastRow="0" w:firstColumn="1" w:lastColumn="0" w:noHBand="0" w:noVBand="1"/>
      </w:tblPr>
      <w:tblGrid>
        <w:gridCol w:w="2689"/>
        <w:gridCol w:w="5244"/>
        <w:gridCol w:w="1134"/>
      </w:tblGrid>
      <w:tr w:rsidR="006E210F" w:rsidRPr="002E77DC" w14:paraId="28437E92" w14:textId="77777777" w:rsidTr="00183521">
        <w:trPr>
          <w:trHeight w:val="841"/>
        </w:trPr>
        <w:tc>
          <w:tcPr>
            <w:tcW w:w="2689" w:type="dxa"/>
            <w:vAlign w:val="center"/>
          </w:tcPr>
          <w:p w14:paraId="01055DDE" w14:textId="77777777" w:rsidR="006E210F" w:rsidRPr="002E77DC" w:rsidRDefault="006E210F" w:rsidP="00183521">
            <w:pPr>
              <w:spacing w:line="360" w:lineRule="auto"/>
              <w:jc w:val="center"/>
              <w:outlineLvl w:val="0"/>
            </w:pPr>
            <w:r w:rsidRPr="00522EF6">
              <w:t xml:space="preserve">    </w:t>
            </w:r>
            <w:r>
              <w:t>Pašvaldības iestāde</w:t>
            </w:r>
          </w:p>
        </w:tc>
        <w:tc>
          <w:tcPr>
            <w:tcW w:w="5244" w:type="dxa"/>
          </w:tcPr>
          <w:p w14:paraId="45EEB775" w14:textId="77777777" w:rsidR="006E210F" w:rsidRPr="002E77DC" w:rsidRDefault="006E210F" w:rsidP="00183521">
            <w:pPr>
              <w:jc w:val="center"/>
            </w:pPr>
            <w:r>
              <w:t xml:space="preserve">Ziedojuma mērķis </w:t>
            </w:r>
          </w:p>
        </w:tc>
        <w:tc>
          <w:tcPr>
            <w:tcW w:w="1134" w:type="dxa"/>
          </w:tcPr>
          <w:p w14:paraId="7200EAFA" w14:textId="77777777" w:rsidR="006E210F" w:rsidRPr="002E77DC" w:rsidRDefault="006E210F" w:rsidP="00183521">
            <w:pPr>
              <w:jc w:val="center"/>
            </w:pPr>
            <w:r>
              <w:t>Summa EUR</w:t>
            </w:r>
          </w:p>
        </w:tc>
      </w:tr>
      <w:tr w:rsidR="006E210F" w14:paraId="206EB15D" w14:textId="77777777" w:rsidTr="00183521">
        <w:trPr>
          <w:trHeight w:val="332"/>
        </w:trPr>
        <w:tc>
          <w:tcPr>
            <w:tcW w:w="2689" w:type="dxa"/>
            <w:vAlign w:val="bottom"/>
          </w:tcPr>
          <w:p w14:paraId="405B635B" w14:textId="77777777" w:rsidR="006E210F" w:rsidRPr="002E77DC" w:rsidRDefault="006E210F" w:rsidP="00183521">
            <w:pPr>
              <w:jc w:val="right"/>
              <w:rPr>
                <w:color w:val="000000"/>
                <w:sz w:val="20"/>
                <w:szCs w:val="20"/>
              </w:rPr>
            </w:pPr>
            <w:r w:rsidRPr="00032BCB">
              <w:rPr>
                <w:color w:val="000000"/>
                <w:sz w:val="20"/>
                <w:szCs w:val="20"/>
              </w:rPr>
              <w:t>Nīcas un Otaņķu pagastu apvienības pārvalde</w:t>
            </w:r>
          </w:p>
        </w:tc>
        <w:tc>
          <w:tcPr>
            <w:tcW w:w="5244" w:type="dxa"/>
            <w:vAlign w:val="center"/>
          </w:tcPr>
          <w:p w14:paraId="4052E19D" w14:textId="5397E687" w:rsidR="006E210F" w:rsidRDefault="00742914" w:rsidP="00183521">
            <w:pPr>
              <w:jc w:val="right"/>
              <w:rPr>
                <w:sz w:val="20"/>
                <w:szCs w:val="20"/>
              </w:rPr>
            </w:pPr>
            <w:r>
              <w:rPr>
                <w:sz w:val="20"/>
                <w:szCs w:val="20"/>
              </w:rPr>
              <w:t>B</w:t>
            </w:r>
            <w:r w:rsidR="006E210F" w:rsidRPr="003B76B5">
              <w:rPr>
                <w:sz w:val="20"/>
                <w:szCs w:val="20"/>
              </w:rPr>
              <w:t>alvas sporta pasākumos</w:t>
            </w:r>
            <w:r w:rsidR="006E210F">
              <w:rPr>
                <w:sz w:val="20"/>
                <w:szCs w:val="20"/>
              </w:rPr>
              <w:t xml:space="preserve"> 35</w:t>
            </w:r>
            <w:r>
              <w:rPr>
                <w:sz w:val="20"/>
                <w:szCs w:val="20"/>
              </w:rPr>
              <w:t>5</w:t>
            </w:r>
            <w:r w:rsidR="006B7D2F">
              <w:rPr>
                <w:sz w:val="20"/>
                <w:szCs w:val="20"/>
              </w:rPr>
              <w:t>-;</w:t>
            </w:r>
          </w:p>
          <w:p w14:paraId="46A6181B" w14:textId="212E0843" w:rsidR="006E210F" w:rsidRDefault="006E210F" w:rsidP="00183521">
            <w:pPr>
              <w:jc w:val="right"/>
              <w:rPr>
                <w:sz w:val="20"/>
                <w:szCs w:val="20"/>
              </w:rPr>
            </w:pPr>
            <w:r w:rsidRPr="003B76B5">
              <w:rPr>
                <w:sz w:val="20"/>
                <w:szCs w:val="20"/>
              </w:rPr>
              <w:t>Inventārs</w:t>
            </w:r>
            <w:r>
              <w:rPr>
                <w:sz w:val="20"/>
                <w:szCs w:val="20"/>
              </w:rPr>
              <w:t xml:space="preserve"> s</w:t>
            </w:r>
            <w:r w:rsidRPr="003B76B5">
              <w:rPr>
                <w:sz w:val="20"/>
                <w:szCs w:val="20"/>
              </w:rPr>
              <w:t>enlietu krātuvei</w:t>
            </w:r>
            <w:r>
              <w:rPr>
                <w:sz w:val="20"/>
                <w:szCs w:val="20"/>
              </w:rPr>
              <w:t xml:space="preserve"> 251</w:t>
            </w:r>
            <w:r w:rsidR="006B7D2F">
              <w:rPr>
                <w:sz w:val="20"/>
                <w:szCs w:val="20"/>
              </w:rPr>
              <w:t>-</w:t>
            </w:r>
            <w:r>
              <w:rPr>
                <w:sz w:val="20"/>
                <w:szCs w:val="20"/>
              </w:rPr>
              <w:t>;</w:t>
            </w:r>
          </w:p>
          <w:p w14:paraId="6CF79601" w14:textId="714686C3" w:rsidR="006E210F" w:rsidRDefault="006E210F" w:rsidP="00183521">
            <w:pPr>
              <w:jc w:val="right"/>
              <w:rPr>
                <w:sz w:val="20"/>
                <w:szCs w:val="20"/>
              </w:rPr>
            </w:pPr>
          </w:p>
        </w:tc>
        <w:tc>
          <w:tcPr>
            <w:tcW w:w="1134" w:type="dxa"/>
            <w:vAlign w:val="center"/>
          </w:tcPr>
          <w:p w14:paraId="7142882A" w14:textId="07FF20E0" w:rsidR="006E210F" w:rsidRDefault="00742914" w:rsidP="00183521">
            <w:pPr>
              <w:jc w:val="right"/>
              <w:rPr>
                <w:sz w:val="20"/>
                <w:szCs w:val="20"/>
              </w:rPr>
            </w:pPr>
            <w:r>
              <w:rPr>
                <w:sz w:val="20"/>
                <w:szCs w:val="20"/>
              </w:rPr>
              <w:t>606</w:t>
            </w:r>
          </w:p>
        </w:tc>
      </w:tr>
      <w:tr w:rsidR="006E210F" w:rsidRPr="002E77DC" w14:paraId="3B48473C" w14:textId="77777777" w:rsidTr="00183521">
        <w:trPr>
          <w:trHeight w:val="332"/>
        </w:trPr>
        <w:tc>
          <w:tcPr>
            <w:tcW w:w="2689" w:type="dxa"/>
            <w:vAlign w:val="bottom"/>
          </w:tcPr>
          <w:p w14:paraId="51970B3C" w14:textId="77777777" w:rsidR="006E210F" w:rsidRPr="002E77DC" w:rsidRDefault="006E210F" w:rsidP="00183521">
            <w:pPr>
              <w:jc w:val="right"/>
              <w:rPr>
                <w:color w:val="000000"/>
                <w:sz w:val="20"/>
                <w:szCs w:val="20"/>
              </w:rPr>
            </w:pPr>
            <w:r w:rsidRPr="00032BCB">
              <w:rPr>
                <w:color w:val="000000"/>
                <w:sz w:val="20"/>
                <w:szCs w:val="20"/>
              </w:rPr>
              <w:t>Aizputes vidusskola</w:t>
            </w:r>
          </w:p>
        </w:tc>
        <w:tc>
          <w:tcPr>
            <w:tcW w:w="5244" w:type="dxa"/>
            <w:vAlign w:val="center"/>
          </w:tcPr>
          <w:p w14:paraId="2A96DD75" w14:textId="77777777" w:rsidR="006E210F" w:rsidRDefault="006E210F" w:rsidP="00183521">
            <w:pPr>
              <w:jc w:val="right"/>
              <w:rPr>
                <w:sz w:val="20"/>
                <w:szCs w:val="20"/>
              </w:rPr>
            </w:pPr>
            <w:r w:rsidRPr="003B76B5">
              <w:rPr>
                <w:sz w:val="20"/>
                <w:szCs w:val="20"/>
              </w:rPr>
              <w:t>Stipendijas skolēniem</w:t>
            </w:r>
            <w:r>
              <w:rPr>
                <w:sz w:val="20"/>
                <w:szCs w:val="20"/>
              </w:rPr>
              <w:t xml:space="preserve"> 4793,-;</w:t>
            </w:r>
          </w:p>
          <w:p w14:paraId="78BA911D" w14:textId="70BF5FA0" w:rsidR="006E210F" w:rsidRPr="002E77DC" w:rsidRDefault="006E210F" w:rsidP="00183521">
            <w:pPr>
              <w:jc w:val="right"/>
              <w:rPr>
                <w:sz w:val="20"/>
                <w:szCs w:val="20"/>
              </w:rPr>
            </w:pPr>
            <w:r w:rsidRPr="00932A91">
              <w:rPr>
                <w:sz w:val="20"/>
                <w:szCs w:val="20"/>
              </w:rPr>
              <w:t>Ēdināšanas izdevumi 16</w:t>
            </w:r>
            <w:r w:rsidR="008F6FA4">
              <w:rPr>
                <w:sz w:val="20"/>
                <w:szCs w:val="20"/>
              </w:rPr>
              <w:t>23</w:t>
            </w:r>
            <w:r w:rsidRPr="00932A91">
              <w:rPr>
                <w:sz w:val="20"/>
                <w:szCs w:val="20"/>
              </w:rPr>
              <w:t>,-</w:t>
            </w:r>
          </w:p>
        </w:tc>
        <w:tc>
          <w:tcPr>
            <w:tcW w:w="1134" w:type="dxa"/>
            <w:vAlign w:val="center"/>
          </w:tcPr>
          <w:p w14:paraId="285E0DE8" w14:textId="77777777" w:rsidR="006E210F" w:rsidRPr="002E77DC" w:rsidRDefault="006E210F" w:rsidP="00183521">
            <w:pPr>
              <w:jc w:val="right"/>
              <w:rPr>
                <w:sz w:val="20"/>
                <w:szCs w:val="20"/>
              </w:rPr>
            </w:pPr>
            <w:r w:rsidRPr="00C37A0D">
              <w:rPr>
                <w:sz w:val="20"/>
                <w:szCs w:val="20"/>
              </w:rPr>
              <w:t>6 416</w:t>
            </w:r>
          </w:p>
        </w:tc>
      </w:tr>
      <w:tr w:rsidR="006E210F" w:rsidRPr="002E77DC" w14:paraId="00B1F88B" w14:textId="77777777" w:rsidTr="00183521">
        <w:trPr>
          <w:trHeight w:val="332"/>
        </w:trPr>
        <w:tc>
          <w:tcPr>
            <w:tcW w:w="2689" w:type="dxa"/>
            <w:vAlign w:val="bottom"/>
          </w:tcPr>
          <w:p w14:paraId="5EE1AD59" w14:textId="77777777" w:rsidR="006E210F" w:rsidRPr="002E77DC" w:rsidRDefault="006E210F" w:rsidP="00183521">
            <w:pPr>
              <w:jc w:val="right"/>
              <w:rPr>
                <w:color w:val="000000"/>
                <w:sz w:val="20"/>
                <w:szCs w:val="20"/>
              </w:rPr>
            </w:pPr>
            <w:r w:rsidRPr="00032BCB">
              <w:rPr>
                <w:color w:val="000000"/>
                <w:sz w:val="20"/>
                <w:szCs w:val="20"/>
              </w:rPr>
              <w:t>Vaiņodes vidusskola</w:t>
            </w:r>
          </w:p>
        </w:tc>
        <w:tc>
          <w:tcPr>
            <w:tcW w:w="5244" w:type="dxa"/>
            <w:vAlign w:val="center"/>
          </w:tcPr>
          <w:p w14:paraId="12C42665" w14:textId="77777777" w:rsidR="006E210F" w:rsidRDefault="006E210F" w:rsidP="00183521">
            <w:pPr>
              <w:jc w:val="right"/>
              <w:rPr>
                <w:sz w:val="20"/>
                <w:szCs w:val="20"/>
              </w:rPr>
            </w:pPr>
            <w:r>
              <w:rPr>
                <w:sz w:val="20"/>
                <w:szCs w:val="20"/>
              </w:rPr>
              <w:t>Inventāram -273,-;</w:t>
            </w:r>
          </w:p>
          <w:p w14:paraId="48B62125" w14:textId="77777777" w:rsidR="006E210F" w:rsidRDefault="006E210F" w:rsidP="00183521">
            <w:pPr>
              <w:jc w:val="right"/>
              <w:rPr>
                <w:sz w:val="20"/>
                <w:szCs w:val="20"/>
              </w:rPr>
            </w:pPr>
            <w:r w:rsidRPr="00932A91">
              <w:rPr>
                <w:sz w:val="20"/>
                <w:szCs w:val="20"/>
              </w:rPr>
              <w:t>Izdevumi par precēm iestādes sabiedrisko aktivitāšu īstenošanai</w:t>
            </w:r>
            <w:r>
              <w:rPr>
                <w:sz w:val="20"/>
                <w:szCs w:val="20"/>
              </w:rPr>
              <w:t xml:space="preserve"> -91,-</w:t>
            </w:r>
          </w:p>
          <w:p w14:paraId="0A01BC39" w14:textId="1FB391BD" w:rsidR="00F96A32" w:rsidRPr="002E77DC" w:rsidRDefault="00AD3D29" w:rsidP="00183521">
            <w:pPr>
              <w:jc w:val="right"/>
              <w:rPr>
                <w:sz w:val="20"/>
                <w:szCs w:val="20"/>
              </w:rPr>
            </w:pPr>
            <w:r>
              <w:rPr>
                <w:sz w:val="20"/>
                <w:szCs w:val="20"/>
              </w:rPr>
              <w:lastRenderedPageBreak/>
              <w:t>K</w:t>
            </w:r>
            <w:r w:rsidRPr="00AD3D29">
              <w:rPr>
                <w:sz w:val="20"/>
                <w:szCs w:val="20"/>
              </w:rPr>
              <w:t>onkursa Štepseles ceļojuma balva kul</w:t>
            </w:r>
            <w:r w:rsidR="00207F75">
              <w:rPr>
                <w:sz w:val="20"/>
                <w:szCs w:val="20"/>
              </w:rPr>
              <w:t>tūras pasākumu biļešu iegādei 99,-</w:t>
            </w:r>
          </w:p>
        </w:tc>
        <w:tc>
          <w:tcPr>
            <w:tcW w:w="1134" w:type="dxa"/>
            <w:vAlign w:val="center"/>
          </w:tcPr>
          <w:p w14:paraId="7F9E8DC7" w14:textId="7E73B882" w:rsidR="006E210F" w:rsidRPr="002E77DC" w:rsidRDefault="00C12885" w:rsidP="00183521">
            <w:pPr>
              <w:jc w:val="right"/>
              <w:rPr>
                <w:sz w:val="20"/>
                <w:szCs w:val="20"/>
              </w:rPr>
            </w:pPr>
            <w:r>
              <w:rPr>
                <w:sz w:val="20"/>
                <w:szCs w:val="20"/>
              </w:rPr>
              <w:lastRenderedPageBreak/>
              <w:t>463</w:t>
            </w:r>
          </w:p>
        </w:tc>
      </w:tr>
      <w:tr w:rsidR="006E210F" w:rsidRPr="002E77DC" w14:paraId="670B5EA4" w14:textId="77777777" w:rsidTr="00183521">
        <w:trPr>
          <w:trHeight w:val="332"/>
        </w:trPr>
        <w:tc>
          <w:tcPr>
            <w:tcW w:w="2689" w:type="dxa"/>
            <w:vAlign w:val="bottom"/>
          </w:tcPr>
          <w:p w14:paraId="469899AE" w14:textId="77777777" w:rsidR="006E210F" w:rsidRPr="002E77DC" w:rsidRDefault="006E210F" w:rsidP="00183521">
            <w:pPr>
              <w:jc w:val="right"/>
              <w:rPr>
                <w:color w:val="000000"/>
                <w:sz w:val="20"/>
                <w:szCs w:val="20"/>
              </w:rPr>
            </w:pPr>
            <w:r w:rsidRPr="00F55D31">
              <w:rPr>
                <w:color w:val="000000"/>
                <w:sz w:val="20"/>
                <w:szCs w:val="20"/>
              </w:rPr>
              <w:t xml:space="preserve">    </w:t>
            </w:r>
            <w:r w:rsidRPr="00032BCB">
              <w:rPr>
                <w:color w:val="000000"/>
                <w:sz w:val="20"/>
                <w:szCs w:val="20"/>
              </w:rPr>
              <w:t>Dzērves pamatskola</w:t>
            </w:r>
          </w:p>
        </w:tc>
        <w:tc>
          <w:tcPr>
            <w:tcW w:w="5244" w:type="dxa"/>
            <w:vAlign w:val="center"/>
          </w:tcPr>
          <w:p w14:paraId="674C6FFE" w14:textId="77777777" w:rsidR="006E210F" w:rsidRPr="002E77DC" w:rsidRDefault="006E210F" w:rsidP="00183521">
            <w:pPr>
              <w:jc w:val="right"/>
              <w:rPr>
                <w:sz w:val="20"/>
                <w:szCs w:val="20"/>
              </w:rPr>
            </w:pPr>
            <w:r>
              <w:rPr>
                <w:sz w:val="20"/>
                <w:szCs w:val="20"/>
              </w:rPr>
              <w:t xml:space="preserve">Rožu stādu iegādei </w:t>
            </w:r>
          </w:p>
        </w:tc>
        <w:tc>
          <w:tcPr>
            <w:tcW w:w="1134" w:type="dxa"/>
            <w:vAlign w:val="center"/>
          </w:tcPr>
          <w:p w14:paraId="7A714906" w14:textId="77777777" w:rsidR="006E210F" w:rsidRPr="002E77DC" w:rsidRDefault="006E210F" w:rsidP="00183521">
            <w:pPr>
              <w:jc w:val="right"/>
              <w:rPr>
                <w:sz w:val="20"/>
                <w:szCs w:val="20"/>
              </w:rPr>
            </w:pPr>
            <w:r w:rsidRPr="00C37A0D">
              <w:rPr>
                <w:sz w:val="20"/>
                <w:szCs w:val="20"/>
              </w:rPr>
              <w:t>123</w:t>
            </w:r>
          </w:p>
        </w:tc>
      </w:tr>
      <w:tr w:rsidR="006E210F" w:rsidRPr="007A3D40" w14:paraId="4298B341" w14:textId="77777777" w:rsidTr="00183521">
        <w:trPr>
          <w:trHeight w:val="332"/>
        </w:trPr>
        <w:tc>
          <w:tcPr>
            <w:tcW w:w="2689" w:type="dxa"/>
            <w:vAlign w:val="bottom"/>
          </w:tcPr>
          <w:p w14:paraId="3A3AB656" w14:textId="77777777" w:rsidR="006E210F" w:rsidRPr="00F55D31" w:rsidRDefault="006E210F" w:rsidP="00183521">
            <w:pPr>
              <w:jc w:val="right"/>
              <w:rPr>
                <w:color w:val="000000"/>
                <w:sz w:val="20"/>
                <w:szCs w:val="20"/>
              </w:rPr>
            </w:pPr>
            <w:r w:rsidRPr="00032BCB">
              <w:rPr>
                <w:color w:val="000000"/>
                <w:sz w:val="20"/>
                <w:szCs w:val="20"/>
              </w:rPr>
              <w:t>Māteru Jura Kazdangas pamatskola</w:t>
            </w:r>
          </w:p>
        </w:tc>
        <w:tc>
          <w:tcPr>
            <w:tcW w:w="5244" w:type="dxa"/>
            <w:vAlign w:val="center"/>
          </w:tcPr>
          <w:p w14:paraId="7971C546" w14:textId="77777777" w:rsidR="006E210F" w:rsidRPr="007A3D40" w:rsidRDefault="006E210F" w:rsidP="00183521">
            <w:pPr>
              <w:jc w:val="right"/>
              <w:rPr>
                <w:sz w:val="20"/>
                <w:szCs w:val="20"/>
              </w:rPr>
            </w:pPr>
            <w:r w:rsidRPr="00932A91">
              <w:rPr>
                <w:sz w:val="20"/>
                <w:szCs w:val="20"/>
              </w:rPr>
              <w:t>Ēdināšanas izdevumi</w:t>
            </w:r>
            <w:r>
              <w:rPr>
                <w:sz w:val="20"/>
                <w:szCs w:val="20"/>
              </w:rPr>
              <w:t>em</w:t>
            </w:r>
          </w:p>
        </w:tc>
        <w:tc>
          <w:tcPr>
            <w:tcW w:w="1134" w:type="dxa"/>
            <w:vAlign w:val="center"/>
          </w:tcPr>
          <w:p w14:paraId="1CAA0BF0" w14:textId="6C319568" w:rsidR="006E210F" w:rsidRPr="007A3D40" w:rsidRDefault="006E210F" w:rsidP="00183521">
            <w:pPr>
              <w:jc w:val="right"/>
              <w:rPr>
                <w:sz w:val="20"/>
                <w:szCs w:val="20"/>
              </w:rPr>
            </w:pPr>
            <w:r w:rsidRPr="00C37A0D">
              <w:rPr>
                <w:sz w:val="20"/>
                <w:szCs w:val="20"/>
              </w:rPr>
              <w:t>8 0</w:t>
            </w:r>
            <w:r w:rsidR="00C12885">
              <w:rPr>
                <w:sz w:val="20"/>
                <w:szCs w:val="20"/>
              </w:rPr>
              <w:t>80</w:t>
            </w:r>
          </w:p>
        </w:tc>
      </w:tr>
      <w:tr w:rsidR="006E210F" w:rsidRPr="002E77DC" w14:paraId="35E8C797" w14:textId="77777777" w:rsidTr="00183521">
        <w:trPr>
          <w:trHeight w:val="332"/>
        </w:trPr>
        <w:tc>
          <w:tcPr>
            <w:tcW w:w="2689" w:type="dxa"/>
            <w:vAlign w:val="bottom"/>
          </w:tcPr>
          <w:p w14:paraId="77219FDF" w14:textId="77777777" w:rsidR="006E210F" w:rsidRPr="002E77DC" w:rsidRDefault="006E210F" w:rsidP="00183521">
            <w:pPr>
              <w:jc w:val="right"/>
              <w:rPr>
                <w:color w:val="000000"/>
                <w:sz w:val="20"/>
                <w:szCs w:val="20"/>
              </w:rPr>
            </w:pPr>
            <w:r w:rsidRPr="00932A91">
              <w:rPr>
                <w:color w:val="000000"/>
                <w:sz w:val="20"/>
                <w:szCs w:val="20"/>
              </w:rPr>
              <w:t>Dienvidkurzemes novada Sporta pārvaldes administrācija</w:t>
            </w:r>
          </w:p>
        </w:tc>
        <w:tc>
          <w:tcPr>
            <w:tcW w:w="5244" w:type="dxa"/>
            <w:vAlign w:val="center"/>
          </w:tcPr>
          <w:p w14:paraId="5FFF375B" w14:textId="77777777" w:rsidR="006E210F" w:rsidRPr="002E77DC" w:rsidRDefault="006E210F" w:rsidP="00183521">
            <w:pPr>
              <w:jc w:val="right"/>
              <w:rPr>
                <w:sz w:val="20"/>
                <w:szCs w:val="20"/>
              </w:rPr>
            </w:pPr>
            <w:r>
              <w:rPr>
                <w:sz w:val="20"/>
                <w:szCs w:val="20"/>
              </w:rPr>
              <w:t>I</w:t>
            </w:r>
            <w:r w:rsidRPr="00932A91">
              <w:rPr>
                <w:sz w:val="20"/>
                <w:szCs w:val="20"/>
              </w:rPr>
              <w:t>zdevumi iestādes sabiedrisko aktivitāšu īstenošanai Kazdangas taku maratonam</w:t>
            </w:r>
          </w:p>
        </w:tc>
        <w:tc>
          <w:tcPr>
            <w:tcW w:w="1134" w:type="dxa"/>
            <w:vAlign w:val="center"/>
          </w:tcPr>
          <w:p w14:paraId="5CFB75F3" w14:textId="77777777" w:rsidR="006E210F" w:rsidRPr="002E77DC" w:rsidRDefault="006E210F" w:rsidP="00183521">
            <w:pPr>
              <w:jc w:val="right"/>
              <w:rPr>
                <w:sz w:val="20"/>
                <w:szCs w:val="20"/>
              </w:rPr>
            </w:pPr>
            <w:r w:rsidRPr="00C37A0D">
              <w:rPr>
                <w:sz w:val="20"/>
                <w:szCs w:val="20"/>
              </w:rPr>
              <w:t>212</w:t>
            </w:r>
          </w:p>
        </w:tc>
      </w:tr>
    </w:tbl>
    <w:p w14:paraId="242F19B1" w14:textId="77777777" w:rsidR="006E210F" w:rsidRDefault="006E210F" w:rsidP="006E210F">
      <w:pPr>
        <w:spacing w:line="360" w:lineRule="auto"/>
        <w:ind w:firstLine="840"/>
        <w:jc w:val="center"/>
        <w:rPr>
          <w:b/>
        </w:rPr>
      </w:pPr>
    </w:p>
    <w:p w14:paraId="3DF96D46" w14:textId="77777777" w:rsidR="006E210F" w:rsidRPr="002E77DC" w:rsidRDefault="006E210F" w:rsidP="006E210F">
      <w:pPr>
        <w:spacing w:line="360" w:lineRule="auto"/>
        <w:ind w:firstLine="840"/>
        <w:jc w:val="center"/>
        <w:rPr>
          <w:b/>
        </w:rPr>
      </w:pPr>
      <w:r w:rsidRPr="002E77DC">
        <w:rPr>
          <w:b/>
        </w:rPr>
        <w:t>Pašvaldības aizņēmumi un galvojumi</w:t>
      </w:r>
    </w:p>
    <w:p w14:paraId="24E1E555" w14:textId="4F6BFA22" w:rsidR="006E210F" w:rsidRPr="002E77DC" w:rsidRDefault="006E210F" w:rsidP="006E210F">
      <w:pPr>
        <w:spacing w:line="360" w:lineRule="auto"/>
        <w:ind w:firstLine="851"/>
        <w:jc w:val="both"/>
        <w:rPr>
          <w:bCs/>
        </w:rPr>
      </w:pPr>
      <w:r>
        <w:rPr>
          <w:bCs/>
        </w:rPr>
        <w:t xml:space="preserve">Dienvidkurzemes </w:t>
      </w:r>
      <w:r w:rsidRPr="002E77DC">
        <w:rPr>
          <w:bCs/>
        </w:rPr>
        <w:t>novada pašvaldībai aizņēmumu kopsumma uz 202</w:t>
      </w:r>
      <w:r w:rsidR="000E2B69">
        <w:rPr>
          <w:bCs/>
        </w:rPr>
        <w:t>6</w:t>
      </w:r>
      <w:r w:rsidRPr="002E77DC">
        <w:rPr>
          <w:bCs/>
        </w:rPr>
        <w:t>.</w:t>
      </w:r>
      <w:r w:rsidR="007A51E9">
        <w:rPr>
          <w:bCs/>
        </w:rPr>
        <w:t xml:space="preserve"> </w:t>
      </w:r>
      <w:r w:rsidRPr="002E77DC">
        <w:rPr>
          <w:bCs/>
        </w:rPr>
        <w:t xml:space="preserve">gada sākumu </w:t>
      </w:r>
      <w:r w:rsidR="00D341A9">
        <w:rPr>
          <w:bCs/>
        </w:rPr>
        <w:t>16,668</w:t>
      </w:r>
      <w:r>
        <w:rPr>
          <w:bCs/>
        </w:rPr>
        <w:t xml:space="preserve"> </w:t>
      </w:r>
      <w:r w:rsidRPr="002E77DC">
        <w:rPr>
          <w:bCs/>
        </w:rPr>
        <w:t xml:space="preserve">milj. </w:t>
      </w:r>
      <w:r w:rsidRPr="002E77DC">
        <w:rPr>
          <w:bCs/>
          <w:i/>
        </w:rPr>
        <w:t>euro</w:t>
      </w:r>
      <w:r w:rsidRPr="002E77DC">
        <w:rPr>
          <w:bCs/>
        </w:rPr>
        <w:t>, bet atmaksāj</w:t>
      </w:r>
      <w:r>
        <w:rPr>
          <w:bCs/>
        </w:rPr>
        <w:t>a</w:t>
      </w:r>
      <w:r w:rsidRPr="002E77DC">
        <w:rPr>
          <w:bCs/>
        </w:rPr>
        <w:t xml:space="preserve">mā summa šogad </w:t>
      </w:r>
      <w:r w:rsidRPr="009B4048">
        <w:rPr>
          <w:bCs/>
        </w:rPr>
        <w:t>1</w:t>
      </w:r>
      <w:r>
        <w:rPr>
          <w:bCs/>
        </w:rPr>
        <w:t>,</w:t>
      </w:r>
      <w:r w:rsidRPr="009B4048">
        <w:rPr>
          <w:bCs/>
        </w:rPr>
        <w:t>82</w:t>
      </w:r>
      <w:r w:rsidR="00611E7E">
        <w:rPr>
          <w:bCs/>
        </w:rPr>
        <w:t>1</w:t>
      </w:r>
      <w:r>
        <w:rPr>
          <w:bCs/>
        </w:rPr>
        <w:t xml:space="preserve"> milj. </w:t>
      </w:r>
      <w:r w:rsidRPr="002E77DC">
        <w:rPr>
          <w:bCs/>
          <w:i/>
        </w:rPr>
        <w:t>euro</w:t>
      </w:r>
      <w:r w:rsidRPr="002E77DC">
        <w:rPr>
          <w:bCs/>
        </w:rPr>
        <w:t xml:space="preserve"> . </w:t>
      </w:r>
      <w:r>
        <w:rPr>
          <w:bCs/>
        </w:rPr>
        <w:t xml:space="preserve">Skat. </w:t>
      </w:r>
      <w:r w:rsidR="007A51E9">
        <w:rPr>
          <w:bCs/>
        </w:rPr>
        <w:t>s</w:t>
      </w:r>
      <w:r>
        <w:rPr>
          <w:bCs/>
        </w:rPr>
        <w:t>aistošo noteikumu 4.</w:t>
      </w:r>
      <w:r w:rsidR="007A51E9">
        <w:rPr>
          <w:bCs/>
        </w:rPr>
        <w:t xml:space="preserve"> </w:t>
      </w:r>
      <w:r>
        <w:rPr>
          <w:bCs/>
        </w:rPr>
        <w:t>pielikumā.</w:t>
      </w:r>
    </w:p>
    <w:p w14:paraId="0927ABA0" w14:textId="657FB88D" w:rsidR="006E210F" w:rsidRDefault="006E210F" w:rsidP="006E210F">
      <w:pPr>
        <w:spacing w:line="360" w:lineRule="auto"/>
        <w:ind w:firstLine="840"/>
        <w:jc w:val="both"/>
        <w:rPr>
          <w:bCs/>
        </w:rPr>
      </w:pPr>
      <w:r>
        <w:rPr>
          <w:bCs/>
        </w:rPr>
        <w:t>Dienvidkurzemes</w:t>
      </w:r>
      <w:r w:rsidR="00DD0C29">
        <w:rPr>
          <w:bCs/>
        </w:rPr>
        <w:t xml:space="preserve"> </w:t>
      </w:r>
      <w:r>
        <w:rPr>
          <w:bCs/>
        </w:rPr>
        <w:t>novada</w:t>
      </w:r>
      <w:r w:rsidR="00DD0C29">
        <w:rPr>
          <w:bCs/>
        </w:rPr>
        <w:t xml:space="preserve"> </w:t>
      </w:r>
      <w:r>
        <w:rPr>
          <w:bCs/>
        </w:rPr>
        <w:t>pašvaldībai</w:t>
      </w:r>
      <w:r w:rsidRPr="002E77DC">
        <w:rPr>
          <w:bCs/>
        </w:rPr>
        <w:t xml:space="preserve"> ir </w:t>
      </w:r>
      <w:r>
        <w:rPr>
          <w:bCs/>
        </w:rPr>
        <w:t>6</w:t>
      </w:r>
      <w:r w:rsidR="00DD0C29">
        <w:rPr>
          <w:bCs/>
        </w:rPr>
        <w:t xml:space="preserve"> </w:t>
      </w:r>
      <w:r w:rsidRPr="002E77DC">
        <w:rPr>
          <w:bCs/>
        </w:rPr>
        <w:t>galvojum</w:t>
      </w:r>
      <w:r>
        <w:rPr>
          <w:bCs/>
        </w:rPr>
        <w:t xml:space="preserve">u līgumi pašvaldības kapitālsabiedrībām un </w:t>
      </w:r>
      <w:r w:rsidRPr="002E77DC">
        <w:rPr>
          <w:bCs/>
        </w:rPr>
        <w:t xml:space="preserve"> </w:t>
      </w:r>
      <w:r>
        <w:rPr>
          <w:bCs/>
        </w:rPr>
        <w:t>1 studiju kredīta līgums</w:t>
      </w:r>
      <w:r w:rsidRPr="002E77DC">
        <w:rPr>
          <w:bCs/>
        </w:rPr>
        <w:t>.  Kopējā galvojuma neatmaksātā summa uz 202</w:t>
      </w:r>
      <w:r w:rsidR="00CE5F18">
        <w:rPr>
          <w:bCs/>
        </w:rPr>
        <w:t>6</w:t>
      </w:r>
      <w:r w:rsidRPr="002E77DC">
        <w:rPr>
          <w:bCs/>
        </w:rPr>
        <w:t>.</w:t>
      </w:r>
      <w:r w:rsidR="00DD0C29">
        <w:rPr>
          <w:bCs/>
        </w:rPr>
        <w:t xml:space="preserve"> </w:t>
      </w:r>
      <w:r w:rsidRPr="002E77DC">
        <w:rPr>
          <w:bCs/>
        </w:rPr>
        <w:t xml:space="preserve">gada sākumu ir </w:t>
      </w:r>
      <w:r w:rsidRPr="000F1F0B">
        <w:rPr>
          <w:bCs/>
        </w:rPr>
        <w:t>1</w:t>
      </w:r>
      <w:r>
        <w:rPr>
          <w:bCs/>
        </w:rPr>
        <w:t xml:space="preserve"> </w:t>
      </w:r>
      <w:r w:rsidRPr="000F1F0B">
        <w:rPr>
          <w:bCs/>
        </w:rPr>
        <w:t>07</w:t>
      </w:r>
      <w:r w:rsidR="002F46E8">
        <w:rPr>
          <w:bCs/>
        </w:rPr>
        <w:t>2</w:t>
      </w:r>
      <w:r>
        <w:rPr>
          <w:bCs/>
        </w:rPr>
        <w:t xml:space="preserve"> </w:t>
      </w:r>
      <w:r w:rsidR="002F46E8">
        <w:rPr>
          <w:bCs/>
        </w:rPr>
        <w:t>345</w:t>
      </w:r>
      <w:r w:rsidRPr="002E77DC">
        <w:rPr>
          <w:bCs/>
        </w:rPr>
        <w:t xml:space="preserve"> EUR</w:t>
      </w:r>
      <w:r>
        <w:rPr>
          <w:bCs/>
        </w:rPr>
        <w:t>.</w:t>
      </w:r>
    </w:p>
    <w:p w14:paraId="51EFC003" w14:textId="46C2825E" w:rsidR="006E210F" w:rsidRPr="00B3055E" w:rsidRDefault="006E210F" w:rsidP="006E210F">
      <w:pPr>
        <w:spacing w:line="360" w:lineRule="auto"/>
        <w:ind w:firstLine="840"/>
        <w:jc w:val="both"/>
        <w:rPr>
          <w:bCs/>
        </w:rPr>
      </w:pPr>
      <w:r>
        <w:rPr>
          <w:bCs/>
        </w:rPr>
        <w:t>Pašvaldības kopējās parādsaistības uz 202</w:t>
      </w:r>
      <w:r w:rsidR="00B61DEC">
        <w:rPr>
          <w:bCs/>
        </w:rPr>
        <w:t>6</w:t>
      </w:r>
      <w:r>
        <w:rPr>
          <w:bCs/>
        </w:rPr>
        <w:t>. gada sākumu sasniedza 2</w:t>
      </w:r>
      <w:r w:rsidR="00B61DEC">
        <w:rPr>
          <w:bCs/>
        </w:rPr>
        <w:t>1</w:t>
      </w:r>
      <w:r>
        <w:rPr>
          <w:bCs/>
        </w:rPr>
        <w:t>,</w:t>
      </w:r>
      <w:r w:rsidR="00B61DEC">
        <w:rPr>
          <w:bCs/>
        </w:rPr>
        <w:t>535</w:t>
      </w:r>
      <w:r>
        <w:rPr>
          <w:bCs/>
        </w:rPr>
        <w:t xml:space="preserve"> milj. </w:t>
      </w:r>
      <w:r w:rsidRPr="001B406A">
        <w:rPr>
          <w:bCs/>
          <w:i/>
        </w:rPr>
        <w:t>euro</w:t>
      </w:r>
      <w:r>
        <w:rPr>
          <w:bCs/>
          <w:i/>
        </w:rPr>
        <w:t>.</w:t>
      </w:r>
      <w:r>
        <w:rPr>
          <w:bCs/>
        </w:rPr>
        <w:t xml:space="preserve"> </w:t>
      </w:r>
    </w:p>
    <w:p w14:paraId="52E1169E" w14:textId="04F095FC" w:rsidR="002824EC" w:rsidRPr="00B3055E" w:rsidRDefault="002824EC" w:rsidP="006E210F">
      <w:pPr>
        <w:spacing w:line="360" w:lineRule="auto"/>
        <w:ind w:firstLine="567"/>
        <w:jc w:val="both"/>
        <w:rPr>
          <w:bCs/>
        </w:rPr>
      </w:pPr>
    </w:p>
    <w:sectPr w:rsidR="002824EC" w:rsidRPr="00B3055E" w:rsidSect="00DE3F63">
      <w:pgSz w:w="12240" w:h="15840" w:code="1"/>
      <w:pgMar w:top="1418" w:right="1134" w:bottom="1134" w:left="1701"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CB0F" w14:textId="77777777" w:rsidR="0039406E" w:rsidRDefault="0039406E" w:rsidP="005B020F">
      <w:r>
        <w:separator/>
      </w:r>
    </w:p>
  </w:endnote>
  <w:endnote w:type="continuationSeparator" w:id="0">
    <w:p w14:paraId="1141D7C3" w14:textId="77777777" w:rsidR="0039406E" w:rsidRDefault="0039406E" w:rsidP="005B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0D3C" w14:textId="77777777" w:rsidR="0039406E" w:rsidRDefault="0039406E" w:rsidP="005B020F">
      <w:r>
        <w:separator/>
      </w:r>
    </w:p>
  </w:footnote>
  <w:footnote w:type="continuationSeparator" w:id="0">
    <w:p w14:paraId="3090F236" w14:textId="77777777" w:rsidR="0039406E" w:rsidRDefault="0039406E" w:rsidP="005B0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5A6"/>
    <w:multiLevelType w:val="hybridMultilevel"/>
    <w:tmpl w:val="655C0132"/>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1136019A"/>
    <w:multiLevelType w:val="hybridMultilevel"/>
    <w:tmpl w:val="3F1EC8D0"/>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225D093C"/>
    <w:multiLevelType w:val="hybridMultilevel"/>
    <w:tmpl w:val="6B98367A"/>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3" w15:restartNumberingAfterBreak="0">
    <w:nsid w:val="22C518E7"/>
    <w:multiLevelType w:val="hybridMultilevel"/>
    <w:tmpl w:val="D3367AD2"/>
    <w:lvl w:ilvl="0" w:tplc="0426000D">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2355" w:hanging="360"/>
      </w:pPr>
      <w:rPr>
        <w:rFonts w:ascii="Courier New" w:hAnsi="Courier New" w:cs="Courier New" w:hint="default"/>
      </w:rPr>
    </w:lvl>
    <w:lvl w:ilvl="2" w:tplc="04260005" w:tentative="1">
      <w:start w:val="1"/>
      <w:numFmt w:val="bullet"/>
      <w:lvlText w:val=""/>
      <w:lvlJc w:val="left"/>
      <w:pPr>
        <w:ind w:left="3075" w:hanging="360"/>
      </w:pPr>
      <w:rPr>
        <w:rFonts w:ascii="Wingdings" w:hAnsi="Wingdings" w:hint="default"/>
      </w:rPr>
    </w:lvl>
    <w:lvl w:ilvl="3" w:tplc="04260001" w:tentative="1">
      <w:start w:val="1"/>
      <w:numFmt w:val="bullet"/>
      <w:lvlText w:val=""/>
      <w:lvlJc w:val="left"/>
      <w:pPr>
        <w:ind w:left="3795" w:hanging="360"/>
      </w:pPr>
      <w:rPr>
        <w:rFonts w:ascii="Symbol" w:hAnsi="Symbol" w:hint="default"/>
      </w:rPr>
    </w:lvl>
    <w:lvl w:ilvl="4" w:tplc="04260003" w:tentative="1">
      <w:start w:val="1"/>
      <w:numFmt w:val="bullet"/>
      <w:lvlText w:val="o"/>
      <w:lvlJc w:val="left"/>
      <w:pPr>
        <w:ind w:left="4515" w:hanging="360"/>
      </w:pPr>
      <w:rPr>
        <w:rFonts w:ascii="Courier New" w:hAnsi="Courier New" w:cs="Courier New" w:hint="default"/>
      </w:rPr>
    </w:lvl>
    <w:lvl w:ilvl="5" w:tplc="04260005" w:tentative="1">
      <w:start w:val="1"/>
      <w:numFmt w:val="bullet"/>
      <w:lvlText w:val=""/>
      <w:lvlJc w:val="left"/>
      <w:pPr>
        <w:ind w:left="5235" w:hanging="360"/>
      </w:pPr>
      <w:rPr>
        <w:rFonts w:ascii="Wingdings" w:hAnsi="Wingdings" w:hint="default"/>
      </w:rPr>
    </w:lvl>
    <w:lvl w:ilvl="6" w:tplc="04260001" w:tentative="1">
      <w:start w:val="1"/>
      <w:numFmt w:val="bullet"/>
      <w:lvlText w:val=""/>
      <w:lvlJc w:val="left"/>
      <w:pPr>
        <w:ind w:left="5955" w:hanging="360"/>
      </w:pPr>
      <w:rPr>
        <w:rFonts w:ascii="Symbol" w:hAnsi="Symbol" w:hint="default"/>
      </w:rPr>
    </w:lvl>
    <w:lvl w:ilvl="7" w:tplc="04260003" w:tentative="1">
      <w:start w:val="1"/>
      <w:numFmt w:val="bullet"/>
      <w:lvlText w:val="o"/>
      <w:lvlJc w:val="left"/>
      <w:pPr>
        <w:ind w:left="6675" w:hanging="360"/>
      </w:pPr>
      <w:rPr>
        <w:rFonts w:ascii="Courier New" w:hAnsi="Courier New" w:cs="Courier New" w:hint="default"/>
      </w:rPr>
    </w:lvl>
    <w:lvl w:ilvl="8" w:tplc="04260005" w:tentative="1">
      <w:start w:val="1"/>
      <w:numFmt w:val="bullet"/>
      <w:lvlText w:val=""/>
      <w:lvlJc w:val="left"/>
      <w:pPr>
        <w:ind w:left="7395" w:hanging="360"/>
      </w:pPr>
      <w:rPr>
        <w:rFonts w:ascii="Wingdings" w:hAnsi="Wingdings" w:hint="default"/>
      </w:rPr>
    </w:lvl>
  </w:abstractNum>
  <w:abstractNum w:abstractNumId="4" w15:restartNumberingAfterBreak="0">
    <w:nsid w:val="28382BF2"/>
    <w:multiLevelType w:val="hybridMultilevel"/>
    <w:tmpl w:val="1B7A8700"/>
    <w:lvl w:ilvl="0" w:tplc="04260003">
      <w:start w:val="1"/>
      <w:numFmt w:val="bullet"/>
      <w:lvlText w:val="o"/>
      <w:lvlJc w:val="left"/>
      <w:pPr>
        <w:ind w:left="1506" w:hanging="360"/>
      </w:pPr>
      <w:rPr>
        <w:rFonts w:ascii="Courier New" w:hAnsi="Courier New" w:cs="Courier New"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5" w15:restartNumberingAfterBreak="0">
    <w:nsid w:val="3B5868F8"/>
    <w:multiLevelType w:val="hybridMultilevel"/>
    <w:tmpl w:val="7B084408"/>
    <w:lvl w:ilvl="0" w:tplc="04260003">
      <w:start w:val="1"/>
      <w:numFmt w:val="bullet"/>
      <w:lvlText w:val="o"/>
      <w:lvlJc w:val="left"/>
      <w:pPr>
        <w:ind w:left="1560" w:hanging="360"/>
      </w:pPr>
      <w:rPr>
        <w:rFonts w:ascii="Courier New" w:hAnsi="Courier New" w:cs="Courier New"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6" w15:restartNumberingAfterBreak="0">
    <w:nsid w:val="3E0E5039"/>
    <w:multiLevelType w:val="hybridMultilevel"/>
    <w:tmpl w:val="8CE6D9FE"/>
    <w:lvl w:ilvl="0" w:tplc="04260001">
      <w:start w:val="1"/>
      <w:numFmt w:val="bullet"/>
      <w:lvlText w:val=""/>
      <w:lvlJc w:val="left"/>
      <w:pPr>
        <w:ind w:left="1560" w:hanging="360"/>
      </w:pPr>
      <w:rPr>
        <w:rFonts w:ascii="Symbol" w:hAnsi="Symbol"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7" w15:restartNumberingAfterBreak="0">
    <w:nsid w:val="5C450EDC"/>
    <w:multiLevelType w:val="hybridMultilevel"/>
    <w:tmpl w:val="84F8B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87943A1"/>
    <w:multiLevelType w:val="hybridMultilevel"/>
    <w:tmpl w:val="8C286F8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95"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91759FF"/>
    <w:multiLevelType w:val="hybridMultilevel"/>
    <w:tmpl w:val="BC1C07CE"/>
    <w:lvl w:ilvl="0" w:tplc="0426000D">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10" w15:restartNumberingAfterBreak="0">
    <w:nsid w:val="7A637678"/>
    <w:multiLevelType w:val="hybridMultilevel"/>
    <w:tmpl w:val="4378BA78"/>
    <w:lvl w:ilvl="0" w:tplc="04260003">
      <w:start w:val="1"/>
      <w:numFmt w:val="bullet"/>
      <w:lvlText w:val="o"/>
      <w:lvlJc w:val="left"/>
      <w:pPr>
        <w:ind w:left="1506" w:hanging="360"/>
      </w:pPr>
      <w:rPr>
        <w:rFonts w:ascii="Courier New" w:hAnsi="Courier New" w:cs="Courier New"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num w:numId="1" w16cid:durableId="1712071387">
    <w:abstractNumId w:val="9"/>
  </w:num>
  <w:num w:numId="2" w16cid:durableId="1326083203">
    <w:abstractNumId w:val="6"/>
  </w:num>
  <w:num w:numId="3" w16cid:durableId="1830554965">
    <w:abstractNumId w:val="4"/>
  </w:num>
  <w:num w:numId="4" w16cid:durableId="2128498144">
    <w:abstractNumId w:val="10"/>
  </w:num>
  <w:num w:numId="5" w16cid:durableId="1043292164">
    <w:abstractNumId w:val="5"/>
  </w:num>
  <w:num w:numId="6" w16cid:durableId="2027050054">
    <w:abstractNumId w:val="0"/>
  </w:num>
  <w:num w:numId="7" w16cid:durableId="1880125129">
    <w:abstractNumId w:val="3"/>
  </w:num>
  <w:num w:numId="8" w16cid:durableId="25564547">
    <w:abstractNumId w:val="1"/>
  </w:num>
  <w:num w:numId="9" w16cid:durableId="1592394730">
    <w:abstractNumId w:val="8"/>
  </w:num>
  <w:num w:numId="10" w16cid:durableId="1937710747">
    <w:abstractNumId w:val="2"/>
  </w:num>
  <w:num w:numId="11" w16cid:durableId="1976525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94"/>
    <w:rsid w:val="000004A0"/>
    <w:rsid w:val="00000A4F"/>
    <w:rsid w:val="00000AD1"/>
    <w:rsid w:val="00002DA7"/>
    <w:rsid w:val="00003FD2"/>
    <w:rsid w:val="000042EA"/>
    <w:rsid w:val="000044E9"/>
    <w:rsid w:val="00006EEA"/>
    <w:rsid w:val="0000721F"/>
    <w:rsid w:val="00007624"/>
    <w:rsid w:val="00007887"/>
    <w:rsid w:val="00007FF8"/>
    <w:rsid w:val="000101E0"/>
    <w:rsid w:val="00015899"/>
    <w:rsid w:val="000168AB"/>
    <w:rsid w:val="000175D1"/>
    <w:rsid w:val="000214A5"/>
    <w:rsid w:val="0002199E"/>
    <w:rsid w:val="000237A6"/>
    <w:rsid w:val="00023893"/>
    <w:rsid w:val="00023E1F"/>
    <w:rsid w:val="00024323"/>
    <w:rsid w:val="00024672"/>
    <w:rsid w:val="000250CE"/>
    <w:rsid w:val="000259AC"/>
    <w:rsid w:val="00026E99"/>
    <w:rsid w:val="0002738F"/>
    <w:rsid w:val="00030DF7"/>
    <w:rsid w:val="000321C5"/>
    <w:rsid w:val="00032205"/>
    <w:rsid w:val="00032641"/>
    <w:rsid w:val="00032BCB"/>
    <w:rsid w:val="00033D92"/>
    <w:rsid w:val="00034E18"/>
    <w:rsid w:val="00036299"/>
    <w:rsid w:val="0003651A"/>
    <w:rsid w:val="00036C48"/>
    <w:rsid w:val="0003738D"/>
    <w:rsid w:val="00040FF2"/>
    <w:rsid w:val="00047459"/>
    <w:rsid w:val="00052DCE"/>
    <w:rsid w:val="00053240"/>
    <w:rsid w:val="000533DA"/>
    <w:rsid w:val="000539CC"/>
    <w:rsid w:val="00054C46"/>
    <w:rsid w:val="000552B0"/>
    <w:rsid w:val="0005700A"/>
    <w:rsid w:val="00060975"/>
    <w:rsid w:val="00061601"/>
    <w:rsid w:val="00062783"/>
    <w:rsid w:val="000638D2"/>
    <w:rsid w:val="00063DB8"/>
    <w:rsid w:val="00064086"/>
    <w:rsid w:val="000655F1"/>
    <w:rsid w:val="00065869"/>
    <w:rsid w:val="00065F1B"/>
    <w:rsid w:val="0006637D"/>
    <w:rsid w:val="0006689A"/>
    <w:rsid w:val="00070F3D"/>
    <w:rsid w:val="00072073"/>
    <w:rsid w:val="00073746"/>
    <w:rsid w:val="00076608"/>
    <w:rsid w:val="00077D93"/>
    <w:rsid w:val="000817A1"/>
    <w:rsid w:val="0008298C"/>
    <w:rsid w:val="00085F6B"/>
    <w:rsid w:val="00087A17"/>
    <w:rsid w:val="00087AA5"/>
    <w:rsid w:val="00091094"/>
    <w:rsid w:val="00092412"/>
    <w:rsid w:val="00093D01"/>
    <w:rsid w:val="00093D41"/>
    <w:rsid w:val="000955DC"/>
    <w:rsid w:val="00095864"/>
    <w:rsid w:val="000959EB"/>
    <w:rsid w:val="000A105B"/>
    <w:rsid w:val="000A1432"/>
    <w:rsid w:val="000A1B46"/>
    <w:rsid w:val="000A3A5F"/>
    <w:rsid w:val="000A5B3B"/>
    <w:rsid w:val="000A5CFE"/>
    <w:rsid w:val="000A69D2"/>
    <w:rsid w:val="000A711B"/>
    <w:rsid w:val="000B0100"/>
    <w:rsid w:val="000B15F5"/>
    <w:rsid w:val="000B1A9F"/>
    <w:rsid w:val="000B38EB"/>
    <w:rsid w:val="000B44F3"/>
    <w:rsid w:val="000B6024"/>
    <w:rsid w:val="000B6C3D"/>
    <w:rsid w:val="000B750A"/>
    <w:rsid w:val="000C0475"/>
    <w:rsid w:val="000C1990"/>
    <w:rsid w:val="000C3F93"/>
    <w:rsid w:val="000C51C6"/>
    <w:rsid w:val="000C5E07"/>
    <w:rsid w:val="000C788F"/>
    <w:rsid w:val="000D2754"/>
    <w:rsid w:val="000D2C34"/>
    <w:rsid w:val="000D4249"/>
    <w:rsid w:val="000D5654"/>
    <w:rsid w:val="000D5F11"/>
    <w:rsid w:val="000D7B36"/>
    <w:rsid w:val="000D7DDA"/>
    <w:rsid w:val="000E2908"/>
    <w:rsid w:val="000E2B69"/>
    <w:rsid w:val="000E2EF1"/>
    <w:rsid w:val="000E325C"/>
    <w:rsid w:val="000E3B18"/>
    <w:rsid w:val="000E4620"/>
    <w:rsid w:val="000E6580"/>
    <w:rsid w:val="000E79E1"/>
    <w:rsid w:val="000E7B53"/>
    <w:rsid w:val="000F1F0B"/>
    <w:rsid w:val="000F3947"/>
    <w:rsid w:val="000F59AA"/>
    <w:rsid w:val="000F6F3D"/>
    <w:rsid w:val="000F7B36"/>
    <w:rsid w:val="001008C1"/>
    <w:rsid w:val="0010097D"/>
    <w:rsid w:val="0010139D"/>
    <w:rsid w:val="00101AFA"/>
    <w:rsid w:val="001027FF"/>
    <w:rsid w:val="00106118"/>
    <w:rsid w:val="00106148"/>
    <w:rsid w:val="00107687"/>
    <w:rsid w:val="00110540"/>
    <w:rsid w:val="0011222B"/>
    <w:rsid w:val="00112EE6"/>
    <w:rsid w:val="00116994"/>
    <w:rsid w:val="00117855"/>
    <w:rsid w:val="00121561"/>
    <w:rsid w:val="001219FE"/>
    <w:rsid w:val="001241DC"/>
    <w:rsid w:val="0012467E"/>
    <w:rsid w:val="00125645"/>
    <w:rsid w:val="001267C8"/>
    <w:rsid w:val="00131D3E"/>
    <w:rsid w:val="001320D8"/>
    <w:rsid w:val="00133311"/>
    <w:rsid w:val="00134593"/>
    <w:rsid w:val="001346AD"/>
    <w:rsid w:val="0013613C"/>
    <w:rsid w:val="00137BFB"/>
    <w:rsid w:val="00137C58"/>
    <w:rsid w:val="00143C6A"/>
    <w:rsid w:val="00146238"/>
    <w:rsid w:val="001513CB"/>
    <w:rsid w:val="00151838"/>
    <w:rsid w:val="00151B5F"/>
    <w:rsid w:val="00154EBC"/>
    <w:rsid w:val="00156918"/>
    <w:rsid w:val="001579C2"/>
    <w:rsid w:val="0016135B"/>
    <w:rsid w:val="001618EF"/>
    <w:rsid w:val="00161B67"/>
    <w:rsid w:val="00162B43"/>
    <w:rsid w:val="00163AE4"/>
    <w:rsid w:val="00163FA8"/>
    <w:rsid w:val="00165EE7"/>
    <w:rsid w:val="00170FF4"/>
    <w:rsid w:val="00171956"/>
    <w:rsid w:val="00172951"/>
    <w:rsid w:val="00175B17"/>
    <w:rsid w:val="00175DF2"/>
    <w:rsid w:val="00177376"/>
    <w:rsid w:val="00177A35"/>
    <w:rsid w:val="00180299"/>
    <w:rsid w:val="0018038E"/>
    <w:rsid w:val="001819B6"/>
    <w:rsid w:val="001840EF"/>
    <w:rsid w:val="00186179"/>
    <w:rsid w:val="00187DB0"/>
    <w:rsid w:val="00187F79"/>
    <w:rsid w:val="00191907"/>
    <w:rsid w:val="00191BCF"/>
    <w:rsid w:val="0019213D"/>
    <w:rsid w:val="001956E0"/>
    <w:rsid w:val="00195DAE"/>
    <w:rsid w:val="00195ECD"/>
    <w:rsid w:val="00196667"/>
    <w:rsid w:val="00196B49"/>
    <w:rsid w:val="001A1CDC"/>
    <w:rsid w:val="001A253D"/>
    <w:rsid w:val="001A272A"/>
    <w:rsid w:val="001A2955"/>
    <w:rsid w:val="001A2978"/>
    <w:rsid w:val="001A2FA0"/>
    <w:rsid w:val="001A39BD"/>
    <w:rsid w:val="001A45A6"/>
    <w:rsid w:val="001A6CC7"/>
    <w:rsid w:val="001B403D"/>
    <w:rsid w:val="001B406A"/>
    <w:rsid w:val="001B525B"/>
    <w:rsid w:val="001B5E68"/>
    <w:rsid w:val="001B5EC6"/>
    <w:rsid w:val="001B6BA0"/>
    <w:rsid w:val="001C1136"/>
    <w:rsid w:val="001C2133"/>
    <w:rsid w:val="001C25CB"/>
    <w:rsid w:val="001C3245"/>
    <w:rsid w:val="001C47B0"/>
    <w:rsid w:val="001C5950"/>
    <w:rsid w:val="001C6291"/>
    <w:rsid w:val="001C7F98"/>
    <w:rsid w:val="001D09A6"/>
    <w:rsid w:val="001D1B35"/>
    <w:rsid w:val="001D237E"/>
    <w:rsid w:val="001D29CE"/>
    <w:rsid w:val="001D2A4D"/>
    <w:rsid w:val="001D3940"/>
    <w:rsid w:val="001D3E28"/>
    <w:rsid w:val="001D54CF"/>
    <w:rsid w:val="001D6BA7"/>
    <w:rsid w:val="001D753C"/>
    <w:rsid w:val="001E181A"/>
    <w:rsid w:val="001E2A77"/>
    <w:rsid w:val="001E459F"/>
    <w:rsid w:val="001E4778"/>
    <w:rsid w:val="001E4E62"/>
    <w:rsid w:val="001E6AAD"/>
    <w:rsid w:val="001E6C03"/>
    <w:rsid w:val="001E723A"/>
    <w:rsid w:val="001F1D1F"/>
    <w:rsid w:val="001F312D"/>
    <w:rsid w:val="001F350F"/>
    <w:rsid w:val="001F36EA"/>
    <w:rsid w:val="001F4958"/>
    <w:rsid w:val="001F70EF"/>
    <w:rsid w:val="00201B91"/>
    <w:rsid w:val="002023EF"/>
    <w:rsid w:val="00202B12"/>
    <w:rsid w:val="002037CB"/>
    <w:rsid w:val="0020410B"/>
    <w:rsid w:val="002049C5"/>
    <w:rsid w:val="00205913"/>
    <w:rsid w:val="00207F75"/>
    <w:rsid w:val="00212C1B"/>
    <w:rsid w:val="00212E95"/>
    <w:rsid w:val="00214CF5"/>
    <w:rsid w:val="00216178"/>
    <w:rsid w:val="00216813"/>
    <w:rsid w:val="00217BF7"/>
    <w:rsid w:val="00217C52"/>
    <w:rsid w:val="0022245C"/>
    <w:rsid w:val="0022348D"/>
    <w:rsid w:val="00224EE0"/>
    <w:rsid w:val="002265E4"/>
    <w:rsid w:val="0023018E"/>
    <w:rsid w:val="00231C05"/>
    <w:rsid w:val="002332AF"/>
    <w:rsid w:val="00237C7D"/>
    <w:rsid w:val="00240005"/>
    <w:rsid w:val="00240834"/>
    <w:rsid w:val="00240F15"/>
    <w:rsid w:val="002411F6"/>
    <w:rsid w:val="00241498"/>
    <w:rsid w:val="0024153A"/>
    <w:rsid w:val="00242AE4"/>
    <w:rsid w:val="00242C5D"/>
    <w:rsid w:val="002438D0"/>
    <w:rsid w:val="00244ED5"/>
    <w:rsid w:val="0024716A"/>
    <w:rsid w:val="00247DC0"/>
    <w:rsid w:val="002502AB"/>
    <w:rsid w:val="00251074"/>
    <w:rsid w:val="00252276"/>
    <w:rsid w:val="0025412E"/>
    <w:rsid w:val="00254E09"/>
    <w:rsid w:val="0026177D"/>
    <w:rsid w:val="00263415"/>
    <w:rsid w:val="00264D39"/>
    <w:rsid w:val="00265243"/>
    <w:rsid w:val="002657CC"/>
    <w:rsid w:val="00265D1E"/>
    <w:rsid w:val="00266E8B"/>
    <w:rsid w:val="0026706E"/>
    <w:rsid w:val="002670EB"/>
    <w:rsid w:val="00270150"/>
    <w:rsid w:val="002703B6"/>
    <w:rsid w:val="00271837"/>
    <w:rsid w:val="00273722"/>
    <w:rsid w:val="0027393D"/>
    <w:rsid w:val="00275118"/>
    <w:rsid w:val="002753E0"/>
    <w:rsid w:val="00276300"/>
    <w:rsid w:val="00281CD5"/>
    <w:rsid w:val="002824EC"/>
    <w:rsid w:val="00283303"/>
    <w:rsid w:val="00283EC9"/>
    <w:rsid w:val="00287905"/>
    <w:rsid w:val="00287F65"/>
    <w:rsid w:val="002918A1"/>
    <w:rsid w:val="00291CBC"/>
    <w:rsid w:val="00292703"/>
    <w:rsid w:val="00292BA1"/>
    <w:rsid w:val="002968E2"/>
    <w:rsid w:val="0029714B"/>
    <w:rsid w:val="00297C37"/>
    <w:rsid w:val="002A1FAF"/>
    <w:rsid w:val="002A2995"/>
    <w:rsid w:val="002A2F5F"/>
    <w:rsid w:val="002A30D0"/>
    <w:rsid w:val="002A5D26"/>
    <w:rsid w:val="002A7C81"/>
    <w:rsid w:val="002A7E63"/>
    <w:rsid w:val="002B0607"/>
    <w:rsid w:val="002B4A02"/>
    <w:rsid w:val="002B4CB3"/>
    <w:rsid w:val="002B5501"/>
    <w:rsid w:val="002B682B"/>
    <w:rsid w:val="002B7E64"/>
    <w:rsid w:val="002C03A4"/>
    <w:rsid w:val="002C0418"/>
    <w:rsid w:val="002C23C7"/>
    <w:rsid w:val="002C3A99"/>
    <w:rsid w:val="002C5B90"/>
    <w:rsid w:val="002C648B"/>
    <w:rsid w:val="002C73AD"/>
    <w:rsid w:val="002C7EA0"/>
    <w:rsid w:val="002D1B21"/>
    <w:rsid w:val="002D3212"/>
    <w:rsid w:val="002D4CAA"/>
    <w:rsid w:val="002D5668"/>
    <w:rsid w:val="002D616A"/>
    <w:rsid w:val="002D6E05"/>
    <w:rsid w:val="002D732D"/>
    <w:rsid w:val="002D75DE"/>
    <w:rsid w:val="002E0D2B"/>
    <w:rsid w:val="002E5425"/>
    <w:rsid w:val="002E6314"/>
    <w:rsid w:val="002E667A"/>
    <w:rsid w:val="002E70CB"/>
    <w:rsid w:val="002E77DC"/>
    <w:rsid w:val="002F0786"/>
    <w:rsid w:val="002F0940"/>
    <w:rsid w:val="002F160F"/>
    <w:rsid w:val="002F1BDE"/>
    <w:rsid w:val="002F2560"/>
    <w:rsid w:val="002F34C1"/>
    <w:rsid w:val="002F3B5F"/>
    <w:rsid w:val="002F46E8"/>
    <w:rsid w:val="002F614D"/>
    <w:rsid w:val="002F62D3"/>
    <w:rsid w:val="00303321"/>
    <w:rsid w:val="003039C4"/>
    <w:rsid w:val="0030514B"/>
    <w:rsid w:val="00305879"/>
    <w:rsid w:val="00305DA0"/>
    <w:rsid w:val="003065D3"/>
    <w:rsid w:val="003073EC"/>
    <w:rsid w:val="003102A5"/>
    <w:rsid w:val="00310469"/>
    <w:rsid w:val="00311059"/>
    <w:rsid w:val="0031115A"/>
    <w:rsid w:val="00312925"/>
    <w:rsid w:val="00313E90"/>
    <w:rsid w:val="00316AC0"/>
    <w:rsid w:val="00317C88"/>
    <w:rsid w:val="0032368C"/>
    <w:rsid w:val="00326872"/>
    <w:rsid w:val="003308FF"/>
    <w:rsid w:val="0033358B"/>
    <w:rsid w:val="00334DC4"/>
    <w:rsid w:val="00335051"/>
    <w:rsid w:val="00335204"/>
    <w:rsid w:val="00335C15"/>
    <w:rsid w:val="003370D3"/>
    <w:rsid w:val="00337CA6"/>
    <w:rsid w:val="0034129D"/>
    <w:rsid w:val="00343C4B"/>
    <w:rsid w:val="00344832"/>
    <w:rsid w:val="00344C07"/>
    <w:rsid w:val="00345677"/>
    <w:rsid w:val="00346710"/>
    <w:rsid w:val="00351397"/>
    <w:rsid w:val="00351439"/>
    <w:rsid w:val="00354162"/>
    <w:rsid w:val="00354D83"/>
    <w:rsid w:val="0035539C"/>
    <w:rsid w:val="00355750"/>
    <w:rsid w:val="003558BA"/>
    <w:rsid w:val="00360997"/>
    <w:rsid w:val="00361D33"/>
    <w:rsid w:val="00363C76"/>
    <w:rsid w:val="003647DC"/>
    <w:rsid w:val="00367E1D"/>
    <w:rsid w:val="00372554"/>
    <w:rsid w:val="003732D5"/>
    <w:rsid w:val="003747B9"/>
    <w:rsid w:val="00376624"/>
    <w:rsid w:val="003777F3"/>
    <w:rsid w:val="0038035A"/>
    <w:rsid w:val="00380634"/>
    <w:rsid w:val="003806D8"/>
    <w:rsid w:val="003816F5"/>
    <w:rsid w:val="003819C1"/>
    <w:rsid w:val="00381BE3"/>
    <w:rsid w:val="003823FA"/>
    <w:rsid w:val="00382D08"/>
    <w:rsid w:val="00382D1B"/>
    <w:rsid w:val="00382F77"/>
    <w:rsid w:val="00383892"/>
    <w:rsid w:val="00386197"/>
    <w:rsid w:val="00386F99"/>
    <w:rsid w:val="00390565"/>
    <w:rsid w:val="0039072B"/>
    <w:rsid w:val="003918A0"/>
    <w:rsid w:val="00392A90"/>
    <w:rsid w:val="0039406E"/>
    <w:rsid w:val="00394444"/>
    <w:rsid w:val="00394AA5"/>
    <w:rsid w:val="00395923"/>
    <w:rsid w:val="00396FBD"/>
    <w:rsid w:val="003972A0"/>
    <w:rsid w:val="003A1A96"/>
    <w:rsid w:val="003A2C73"/>
    <w:rsid w:val="003A3537"/>
    <w:rsid w:val="003A38B8"/>
    <w:rsid w:val="003A567F"/>
    <w:rsid w:val="003A5FB1"/>
    <w:rsid w:val="003A613E"/>
    <w:rsid w:val="003A6433"/>
    <w:rsid w:val="003A6710"/>
    <w:rsid w:val="003B089B"/>
    <w:rsid w:val="003B0BA3"/>
    <w:rsid w:val="003B2C5A"/>
    <w:rsid w:val="003B52B6"/>
    <w:rsid w:val="003B6089"/>
    <w:rsid w:val="003B6758"/>
    <w:rsid w:val="003B6835"/>
    <w:rsid w:val="003B76B5"/>
    <w:rsid w:val="003C09A6"/>
    <w:rsid w:val="003C187E"/>
    <w:rsid w:val="003C2A21"/>
    <w:rsid w:val="003C3F5C"/>
    <w:rsid w:val="003C436C"/>
    <w:rsid w:val="003C5707"/>
    <w:rsid w:val="003C7651"/>
    <w:rsid w:val="003C7DA4"/>
    <w:rsid w:val="003D10B6"/>
    <w:rsid w:val="003D21DF"/>
    <w:rsid w:val="003D3240"/>
    <w:rsid w:val="003D485C"/>
    <w:rsid w:val="003D7F1F"/>
    <w:rsid w:val="003E1396"/>
    <w:rsid w:val="003E14F1"/>
    <w:rsid w:val="003E28E5"/>
    <w:rsid w:val="003E2CB0"/>
    <w:rsid w:val="003E2EEA"/>
    <w:rsid w:val="003E33F7"/>
    <w:rsid w:val="003E3D4D"/>
    <w:rsid w:val="003E5595"/>
    <w:rsid w:val="003E6FEE"/>
    <w:rsid w:val="003E7BDB"/>
    <w:rsid w:val="003F15F5"/>
    <w:rsid w:val="003F2F35"/>
    <w:rsid w:val="003F384C"/>
    <w:rsid w:val="003F40C5"/>
    <w:rsid w:val="003F53EA"/>
    <w:rsid w:val="0040033F"/>
    <w:rsid w:val="004037D5"/>
    <w:rsid w:val="00405A1D"/>
    <w:rsid w:val="00405B12"/>
    <w:rsid w:val="004076C9"/>
    <w:rsid w:val="00407AC5"/>
    <w:rsid w:val="00407F82"/>
    <w:rsid w:val="00411E26"/>
    <w:rsid w:val="00413DCC"/>
    <w:rsid w:val="00414C3C"/>
    <w:rsid w:val="004150D1"/>
    <w:rsid w:val="0041649C"/>
    <w:rsid w:val="0041771B"/>
    <w:rsid w:val="004177EC"/>
    <w:rsid w:val="00417F05"/>
    <w:rsid w:val="004206BE"/>
    <w:rsid w:val="00422AA8"/>
    <w:rsid w:val="00424CCD"/>
    <w:rsid w:val="00426EDB"/>
    <w:rsid w:val="00427A7B"/>
    <w:rsid w:val="00427AEE"/>
    <w:rsid w:val="00427DB1"/>
    <w:rsid w:val="00430AC7"/>
    <w:rsid w:val="004333E8"/>
    <w:rsid w:val="00433591"/>
    <w:rsid w:val="0043360D"/>
    <w:rsid w:val="00434C89"/>
    <w:rsid w:val="004353F9"/>
    <w:rsid w:val="0043593C"/>
    <w:rsid w:val="004365D7"/>
    <w:rsid w:val="00437491"/>
    <w:rsid w:val="004379E1"/>
    <w:rsid w:val="00437D56"/>
    <w:rsid w:val="00441F42"/>
    <w:rsid w:val="004450A5"/>
    <w:rsid w:val="00447885"/>
    <w:rsid w:val="00447F23"/>
    <w:rsid w:val="00450442"/>
    <w:rsid w:val="0045771E"/>
    <w:rsid w:val="00460625"/>
    <w:rsid w:val="00461C9D"/>
    <w:rsid w:val="004626BF"/>
    <w:rsid w:val="004657F7"/>
    <w:rsid w:val="004664CC"/>
    <w:rsid w:val="00470583"/>
    <w:rsid w:val="00470F87"/>
    <w:rsid w:val="00477788"/>
    <w:rsid w:val="00477C6A"/>
    <w:rsid w:val="00480476"/>
    <w:rsid w:val="00481693"/>
    <w:rsid w:val="0048189E"/>
    <w:rsid w:val="00481F64"/>
    <w:rsid w:val="00482719"/>
    <w:rsid w:val="00483910"/>
    <w:rsid w:val="0048428F"/>
    <w:rsid w:val="004867D2"/>
    <w:rsid w:val="0049179D"/>
    <w:rsid w:val="004935B2"/>
    <w:rsid w:val="00494AF4"/>
    <w:rsid w:val="00495381"/>
    <w:rsid w:val="004A033F"/>
    <w:rsid w:val="004A1287"/>
    <w:rsid w:val="004A14A3"/>
    <w:rsid w:val="004A26E1"/>
    <w:rsid w:val="004A3617"/>
    <w:rsid w:val="004A36C9"/>
    <w:rsid w:val="004A49BB"/>
    <w:rsid w:val="004A5353"/>
    <w:rsid w:val="004A5DB5"/>
    <w:rsid w:val="004A6447"/>
    <w:rsid w:val="004A645D"/>
    <w:rsid w:val="004A6F5E"/>
    <w:rsid w:val="004A790F"/>
    <w:rsid w:val="004B0FA0"/>
    <w:rsid w:val="004B2A83"/>
    <w:rsid w:val="004B325C"/>
    <w:rsid w:val="004C0119"/>
    <w:rsid w:val="004C03F6"/>
    <w:rsid w:val="004C1D3B"/>
    <w:rsid w:val="004C2426"/>
    <w:rsid w:val="004C2592"/>
    <w:rsid w:val="004C2BFA"/>
    <w:rsid w:val="004C360F"/>
    <w:rsid w:val="004C3687"/>
    <w:rsid w:val="004C4112"/>
    <w:rsid w:val="004C4449"/>
    <w:rsid w:val="004C4D05"/>
    <w:rsid w:val="004C4D39"/>
    <w:rsid w:val="004C5E83"/>
    <w:rsid w:val="004C6B81"/>
    <w:rsid w:val="004C77EF"/>
    <w:rsid w:val="004C795F"/>
    <w:rsid w:val="004C7E14"/>
    <w:rsid w:val="004D5827"/>
    <w:rsid w:val="004E032F"/>
    <w:rsid w:val="004E15A5"/>
    <w:rsid w:val="004E20BF"/>
    <w:rsid w:val="004E262E"/>
    <w:rsid w:val="004E29A3"/>
    <w:rsid w:val="004E389A"/>
    <w:rsid w:val="004E3E20"/>
    <w:rsid w:val="004E49B1"/>
    <w:rsid w:val="004E5771"/>
    <w:rsid w:val="004E593F"/>
    <w:rsid w:val="004E7205"/>
    <w:rsid w:val="004E78A1"/>
    <w:rsid w:val="004F1722"/>
    <w:rsid w:val="004F1956"/>
    <w:rsid w:val="004F4EA3"/>
    <w:rsid w:val="00501B39"/>
    <w:rsid w:val="00501C47"/>
    <w:rsid w:val="00504402"/>
    <w:rsid w:val="005045E0"/>
    <w:rsid w:val="00504A98"/>
    <w:rsid w:val="00504E9C"/>
    <w:rsid w:val="0050601F"/>
    <w:rsid w:val="0050618B"/>
    <w:rsid w:val="00506674"/>
    <w:rsid w:val="005075BF"/>
    <w:rsid w:val="00510405"/>
    <w:rsid w:val="005105F4"/>
    <w:rsid w:val="00510F11"/>
    <w:rsid w:val="005119CB"/>
    <w:rsid w:val="005122FA"/>
    <w:rsid w:val="00514CA0"/>
    <w:rsid w:val="00514D53"/>
    <w:rsid w:val="00515CF4"/>
    <w:rsid w:val="005167D8"/>
    <w:rsid w:val="005172DD"/>
    <w:rsid w:val="005205D1"/>
    <w:rsid w:val="00520A2D"/>
    <w:rsid w:val="005218CF"/>
    <w:rsid w:val="00522EF6"/>
    <w:rsid w:val="0052357D"/>
    <w:rsid w:val="0052371B"/>
    <w:rsid w:val="005248C0"/>
    <w:rsid w:val="0052518A"/>
    <w:rsid w:val="0052536B"/>
    <w:rsid w:val="00525DCD"/>
    <w:rsid w:val="0053099B"/>
    <w:rsid w:val="005342FC"/>
    <w:rsid w:val="005355B1"/>
    <w:rsid w:val="00535B79"/>
    <w:rsid w:val="005363F8"/>
    <w:rsid w:val="00537479"/>
    <w:rsid w:val="005378B8"/>
    <w:rsid w:val="00537BD4"/>
    <w:rsid w:val="00540F5B"/>
    <w:rsid w:val="005453A9"/>
    <w:rsid w:val="0054592B"/>
    <w:rsid w:val="00545E27"/>
    <w:rsid w:val="00547031"/>
    <w:rsid w:val="0055076D"/>
    <w:rsid w:val="0055152D"/>
    <w:rsid w:val="005522CE"/>
    <w:rsid w:val="005532AB"/>
    <w:rsid w:val="00553667"/>
    <w:rsid w:val="0055371E"/>
    <w:rsid w:val="0055439C"/>
    <w:rsid w:val="00555574"/>
    <w:rsid w:val="00555638"/>
    <w:rsid w:val="00557085"/>
    <w:rsid w:val="00560645"/>
    <w:rsid w:val="005613C7"/>
    <w:rsid w:val="0056370D"/>
    <w:rsid w:val="005662C4"/>
    <w:rsid w:val="00566365"/>
    <w:rsid w:val="00567FC4"/>
    <w:rsid w:val="00573026"/>
    <w:rsid w:val="00573F1E"/>
    <w:rsid w:val="00573F1F"/>
    <w:rsid w:val="00574473"/>
    <w:rsid w:val="005761C5"/>
    <w:rsid w:val="005769AB"/>
    <w:rsid w:val="0057788B"/>
    <w:rsid w:val="0058371D"/>
    <w:rsid w:val="005847C4"/>
    <w:rsid w:val="00584DD9"/>
    <w:rsid w:val="0058686D"/>
    <w:rsid w:val="00592F33"/>
    <w:rsid w:val="0059445E"/>
    <w:rsid w:val="00595A02"/>
    <w:rsid w:val="00597F50"/>
    <w:rsid w:val="005A12B4"/>
    <w:rsid w:val="005A135D"/>
    <w:rsid w:val="005A13DD"/>
    <w:rsid w:val="005A17F2"/>
    <w:rsid w:val="005A1EF2"/>
    <w:rsid w:val="005A38AD"/>
    <w:rsid w:val="005A4761"/>
    <w:rsid w:val="005A524D"/>
    <w:rsid w:val="005A5859"/>
    <w:rsid w:val="005A711D"/>
    <w:rsid w:val="005A7D28"/>
    <w:rsid w:val="005B020F"/>
    <w:rsid w:val="005B07EB"/>
    <w:rsid w:val="005B1CFA"/>
    <w:rsid w:val="005B28AF"/>
    <w:rsid w:val="005B299F"/>
    <w:rsid w:val="005B2B40"/>
    <w:rsid w:val="005B30E8"/>
    <w:rsid w:val="005B43A9"/>
    <w:rsid w:val="005B5993"/>
    <w:rsid w:val="005C0413"/>
    <w:rsid w:val="005C1DD6"/>
    <w:rsid w:val="005C4FC7"/>
    <w:rsid w:val="005C53EE"/>
    <w:rsid w:val="005C6053"/>
    <w:rsid w:val="005C6865"/>
    <w:rsid w:val="005C6D3B"/>
    <w:rsid w:val="005D08AB"/>
    <w:rsid w:val="005D10E2"/>
    <w:rsid w:val="005D117D"/>
    <w:rsid w:val="005D1947"/>
    <w:rsid w:val="005D35CF"/>
    <w:rsid w:val="005D4CEA"/>
    <w:rsid w:val="005D51B3"/>
    <w:rsid w:val="005D598F"/>
    <w:rsid w:val="005D69A7"/>
    <w:rsid w:val="005E4E29"/>
    <w:rsid w:val="005E4E94"/>
    <w:rsid w:val="005E5708"/>
    <w:rsid w:val="005E64CB"/>
    <w:rsid w:val="005E702E"/>
    <w:rsid w:val="005E7471"/>
    <w:rsid w:val="005F074C"/>
    <w:rsid w:val="005F1345"/>
    <w:rsid w:val="005F186D"/>
    <w:rsid w:val="005F2687"/>
    <w:rsid w:val="005F477D"/>
    <w:rsid w:val="005F4B2E"/>
    <w:rsid w:val="005F4ED6"/>
    <w:rsid w:val="005F5E59"/>
    <w:rsid w:val="005F5F53"/>
    <w:rsid w:val="005F7763"/>
    <w:rsid w:val="006024DE"/>
    <w:rsid w:val="00606587"/>
    <w:rsid w:val="0060716B"/>
    <w:rsid w:val="006072EC"/>
    <w:rsid w:val="00607B39"/>
    <w:rsid w:val="00610D14"/>
    <w:rsid w:val="00610F2C"/>
    <w:rsid w:val="00611E7E"/>
    <w:rsid w:val="00616411"/>
    <w:rsid w:val="00617315"/>
    <w:rsid w:val="0061785D"/>
    <w:rsid w:val="00622559"/>
    <w:rsid w:val="00623B7D"/>
    <w:rsid w:val="00623D7B"/>
    <w:rsid w:val="0062507F"/>
    <w:rsid w:val="00625252"/>
    <w:rsid w:val="00625299"/>
    <w:rsid w:val="00626344"/>
    <w:rsid w:val="00626F0E"/>
    <w:rsid w:val="006305D8"/>
    <w:rsid w:val="00631A8E"/>
    <w:rsid w:val="00633299"/>
    <w:rsid w:val="00633443"/>
    <w:rsid w:val="006336EA"/>
    <w:rsid w:val="0063429A"/>
    <w:rsid w:val="006361C5"/>
    <w:rsid w:val="006368C7"/>
    <w:rsid w:val="00640B26"/>
    <w:rsid w:val="00640CAA"/>
    <w:rsid w:val="00642CE5"/>
    <w:rsid w:val="00642EF0"/>
    <w:rsid w:val="006435BD"/>
    <w:rsid w:val="00645493"/>
    <w:rsid w:val="00645E33"/>
    <w:rsid w:val="00647F29"/>
    <w:rsid w:val="0065515C"/>
    <w:rsid w:val="00656683"/>
    <w:rsid w:val="00656788"/>
    <w:rsid w:val="00656F11"/>
    <w:rsid w:val="00660413"/>
    <w:rsid w:val="006627B0"/>
    <w:rsid w:val="00663AE8"/>
    <w:rsid w:val="00665DD3"/>
    <w:rsid w:val="00666B6E"/>
    <w:rsid w:val="00666C57"/>
    <w:rsid w:val="00666E81"/>
    <w:rsid w:val="0067538C"/>
    <w:rsid w:val="0067564B"/>
    <w:rsid w:val="0067575B"/>
    <w:rsid w:val="0067657D"/>
    <w:rsid w:val="00677661"/>
    <w:rsid w:val="0068075B"/>
    <w:rsid w:val="00680C4D"/>
    <w:rsid w:val="0068384E"/>
    <w:rsid w:val="00683B83"/>
    <w:rsid w:val="00683FB6"/>
    <w:rsid w:val="00685668"/>
    <w:rsid w:val="00690257"/>
    <w:rsid w:val="006902E3"/>
    <w:rsid w:val="006904E0"/>
    <w:rsid w:val="00690767"/>
    <w:rsid w:val="00693AC2"/>
    <w:rsid w:val="0069481D"/>
    <w:rsid w:val="00695B9A"/>
    <w:rsid w:val="00696177"/>
    <w:rsid w:val="00696797"/>
    <w:rsid w:val="006979B7"/>
    <w:rsid w:val="006979DB"/>
    <w:rsid w:val="00697BDB"/>
    <w:rsid w:val="006A0AA5"/>
    <w:rsid w:val="006A673A"/>
    <w:rsid w:val="006B0288"/>
    <w:rsid w:val="006B055B"/>
    <w:rsid w:val="006B2985"/>
    <w:rsid w:val="006B3A06"/>
    <w:rsid w:val="006B42C0"/>
    <w:rsid w:val="006B46E1"/>
    <w:rsid w:val="006B5574"/>
    <w:rsid w:val="006B64DA"/>
    <w:rsid w:val="006B712D"/>
    <w:rsid w:val="006B76A0"/>
    <w:rsid w:val="006B7915"/>
    <w:rsid w:val="006B7D2F"/>
    <w:rsid w:val="006B7DFA"/>
    <w:rsid w:val="006C00CE"/>
    <w:rsid w:val="006C09C7"/>
    <w:rsid w:val="006C0C63"/>
    <w:rsid w:val="006C1FB1"/>
    <w:rsid w:val="006C24BF"/>
    <w:rsid w:val="006C2B81"/>
    <w:rsid w:val="006C40B4"/>
    <w:rsid w:val="006C5714"/>
    <w:rsid w:val="006C7883"/>
    <w:rsid w:val="006C7947"/>
    <w:rsid w:val="006D06A8"/>
    <w:rsid w:val="006D14EE"/>
    <w:rsid w:val="006D227B"/>
    <w:rsid w:val="006D332D"/>
    <w:rsid w:val="006D3E52"/>
    <w:rsid w:val="006D5207"/>
    <w:rsid w:val="006D5540"/>
    <w:rsid w:val="006D6069"/>
    <w:rsid w:val="006E00FB"/>
    <w:rsid w:val="006E09AD"/>
    <w:rsid w:val="006E0BDE"/>
    <w:rsid w:val="006E0C1F"/>
    <w:rsid w:val="006E1CE1"/>
    <w:rsid w:val="006E210F"/>
    <w:rsid w:val="006E29BE"/>
    <w:rsid w:val="006E2D83"/>
    <w:rsid w:val="006E321C"/>
    <w:rsid w:val="006E4180"/>
    <w:rsid w:val="006E52EC"/>
    <w:rsid w:val="006E5361"/>
    <w:rsid w:val="006E6AFF"/>
    <w:rsid w:val="006E6BEB"/>
    <w:rsid w:val="006E70E2"/>
    <w:rsid w:val="006E7180"/>
    <w:rsid w:val="006E7298"/>
    <w:rsid w:val="006E7323"/>
    <w:rsid w:val="006F0C23"/>
    <w:rsid w:val="006F0CA4"/>
    <w:rsid w:val="006F0CDF"/>
    <w:rsid w:val="006F1971"/>
    <w:rsid w:val="006F1B12"/>
    <w:rsid w:val="006F252A"/>
    <w:rsid w:val="006F27D2"/>
    <w:rsid w:val="006F6ADD"/>
    <w:rsid w:val="00700849"/>
    <w:rsid w:val="00701403"/>
    <w:rsid w:val="00702053"/>
    <w:rsid w:val="00703442"/>
    <w:rsid w:val="00703EC2"/>
    <w:rsid w:val="007072E1"/>
    <w:rsid w:val="007109DA"/>
    <w:rsid w:val="00710FEC"/>
    <w:rsid w:val="00712A73"/>
    <w:rsid w:val="00712A99"/>
    <w:rsid w:val="00712D54"/>
    <w:rsid w:val="007148F6"/>
    <w:rsid w:val="00715A4A"/>
    <w:rsid w:val="00715B49"/>
    <w:rsid w:val="00716D74"/>
    <w:rsid w:val="00720487"/>
    <w:rsid w:val="00721EFD"/>
    <w:rsid w:val="00723052"/>
    <w:rsid w:val="00724281"/>
    <w:rsid w:val="00725B34"/>
    <w:rsid w:val="007333A8"/>
    <w:rsid w:val="00734577"/>
    <w:rsid w:val="00736DA5"/>
    <w:rsid w:val="0074091A"/>
    <w:rsid w:val="0074172C"/>
    <w:rsid w:val="00742043"/>
    <w:rsid w:val="00742914"/>
    <w:rsid w:val="007431F9"/>
    <w:rsid w:val="00745C56"/>
    <w:rsid w:val="00746176"/>
    <w:rsid w:val="00746A39"/>
    <w:rsid w:val="00751C69"/>
    <w:rsid w:val="00752155"/>
    <w:rsid w:val="00754B87"/>
    <w:rsid w:val="00757C3B"/>
    <w:rsid w:val="00757F77"/>
    <w:rsid w:val="00760EED"/>
    <w:rsid w:val="007627C9"/>
    <w:rsid w:val="00764127"/>
    <w:rsid w:val="00764765"/>
    <w:rsid w:val="007647DB"/>
    <w:rsid w:val="0076538F"/>
    <w:rsid w:val="00766047"/>
    <w:rsid w:val="00766A24"/>
    <w:rsid w:val="00767601"/>
    <w:rsid w:val="00767903"/>
    <w:rsid w:val="00774CE6"/>
    <w:rsid w:val="00775D8A"/>
    <w:rsid w:val="00776812"/>
    <w:rsid w:val="007813E7"/>
    <w:rsid w:val="00782719"/>
    <w:rsid w:val="00783125"/>
    <w:rsid w:val="0078397E"/>
    <w:rsid w:val="00784B67"/>
    <w:rsid w:val="00785628"/>
    <w:rsid w:val="00793AAC"/>
    <w:rsid w:val="0079517D"/>
    <w:rsid w:val="007A083E"/>
    <w:rsid w:val="007A0D7E"/>
    <w:rsid w:val="007A3D40"/>
    <w:rsid w:val="007A40C9"/>
    <w:rsid w:val="007A51E9"/>
    <w:rsid w:val="007A6AE3"/>
    <w:rsid w:val="007A77BE"/>
    <w:rsid w:val="007B196E"/>
    <w:rsid w:val="007B3D81"/>
    <w:rsid w:val="007B49D8"/>
    <w:rsid w:val="007B6548"/>
    <w:rsid w:val="007B66D0"/>
    <w:rsid w:val="007B7823"/>
    <w:rsid w:val="007C113A"/>
    <w:rsid w:val="007C24D5"/>
    <w:rsid w:val="007C28E6"/>
    <w:rsid w:val="007C3906"/>
    <w:rsid w:val="007C43FA"/>
    <w:rsid w:val="007C62E6"/>
    <w:rsid w:val="007C64E4"/>
    <w:rsid w:val="007C6531"/>
    <w:rsid w:val="007D13F4"/>
    <w:rsid w:val="007D1C9B"/>
    <w:rsid w:val="007D37B1"/>
    <w:rsid w:val="007D4CC2"/>
    <w:rsid w:val="007D5958"/>
    <w:rsid w:val="007D68C6"/>
    <w:rsid w:val="007D6D1C"/>
    <w:rsid w:val="007D76B5"/>
    <w:rsid w:val="007E0A85"/>
    <w:rsid w:val="007E0D8D"/>
    <w:rsid w:val="007E6286"/>
    <w:rsid w:val="007E6B37"/>
    <w:rsid w:val="007E70F3"/>
    <w:rsid w:val="007E7186"/>
    <w:rsid w:val="007E73E7"/>
    <w:rsid w:val="007E757B"/>
    <w:rsid w:val="007F015C"/>
    <w:rsid w:val="007F22E8"/>
    <w:rsid w:val="007F3328"/>
    <w:rsid w:val="007F7036"/>
    <w:rsid w:val="008011D9"/>
    <w:rsid w:val="008018CF"/>
    <w:rsid w:val="0080210F"/>
    <w:rsid w:val="00803683"/>
    <w:rsid w:val="00804EA1"/>
    <w:rsid w:val="00805C87"/>
    <w:rsid w:val="00806028"/>
    <w:rsid w:val="0080697D"/>
    <w:rsid w:val="00807203"/>
    <w:rsid w:val="00807E51"/>
    <w:rsid w:val="00810349"/>
    <w:rsid w:val="00810504"/>
    <w:rsid w:val="008130C8"/>
    <w:rsid w:val="00814144"/>
    <w:rsid w:val="008150DA"/>
    <w:rsid w:val="00817384"/>
    <w:rsid w:val="008178D9"/>
    <w:rsid w:val="00820269"/>
    <w:rsid w:val="0082108E"/>
    <w:rsid w:val="00821390"/>
    <w:rsid w:val="0082162D"/>
    <w:rsid w:val="0082520C"/>
    <w:rsid w:val="008257E2"/>
    <w:rsid w:val="0082678C"/>
    <w:rsid w:val="00827317"/>
    <w:rsid w:val="00827F18"/>
    <w:rsid w:val="0083054B"/>
    <w:rsid w:val="00830F37"/>
    <w:rsid w:val="00831498"/>
    <w:rsid w:val="008315C6"/>
    <w:rsid w:val="00832117"/>
    <w:rsid w:val="00832696"/>
    <w:rsid w:val="00832B36"/>
    <w:rsid w:val="00833E35"/>
    <w:rsid w:val="008423EB"/>
    <w:rsid w:val="00843A26"/>
    <w:rsid w:val="008443D7"/>
    <w:rsid w:val="0084567A"/>
    <w:rsid w:val="00845FDB"/>
    <w:rsid w:val="00846821"/>
    <w:rsid w:val="00847091"/>
    <w:rsid w:val="00847BFE"/>
    <w:rsid w:val="00850DE6"/>
    <w:rsid w:val="00854003"/>
    <w:rsid w:val="00854E37"/>
    <w:rsid w:val="00855925"/>
    <w:rsid w:val="0085757C"/>
    <w:rsid w:val="00857DE6"/>
    <w:rsid w:val="00861557"/>
    <w:rsid w:val="008623B0"/>
    <w:rsid w:val="00863ECE"/>
    <w:rsid w:val="00864F97"/>
    <w:rsid w:val="008651BA"/>
    <w:rsid w:val="00865EFB"/>
    <w:rsid w:val="00865F0E"/>
    <w:rsid w:val="0086610F"/>
    <w:rsid w:val="00870F74"/>
    <w:rsid w:val="0087126A"/>
    <w:rsid w:val="0087220E"/>
    <w:rsid w:val="008723E8"/>
    <w:rsid w:val="00872DFD"/>
    <w:rsid w:val="00873AD5"/>
    <w:rsid w:val="00874028"/>
    <w:rsid w:val="00880E49"/>
    <w:rsid w:val="008836F1"/>
    <w:rsid w:val="00883AE4"/>
    <w:rsid w:val="00883F1C"/>
    <w:rsid w:val="008848B2"/>
    <w:rsid w:val="008851FA"/>
    <w:rsid w:val="008858FC"/>
    <w:rsid w:val="00885E5E"/>
    <w:rsid w:val="008865E0"/>
    <w:rsid w:val="00886865"/>
    <w:rsid w:val="00890215"/>
    <w:rsid w:val="008909DE"/>
    <w:rsid w:val="00894642"/>
    <w:rsid w:val="008958FA"/>
    <w:rsid w:val="00895CF9"/>
    <w:rsid w:val="00895D7A"/>
    <w:rsid w:val="00895FCB"/>
    <w:rsid w:val="008964A8"/>
    <w:rsid w:val="008972D8"/>
    <w:rsid w:val="008977EF"/>
    <w:rsid w:val="008A03DD"/>
    <w:rsid w:val="008A3D4E"/>
    <w:rsid w:val="008A421B"/>
    <w:rsid w:val="008A4EE6"/>
    <w:rsid w:val="008A4FAF"/>
    <w:rsid w:val="008A50F8"/>
    <w:rsid w:val="008A56F4"/>
    <w:rsid w:val="008A5ABC"/>
    <w:rsid w:val="008A5C93"/>
    <w:rsid w:val="008B003B"/>
    <w:rsid w:val="008B07B5"/>
    <w:rsid w:val="008B1004"/>
    <w:rsid w:val="008B1E37"/>
    <w:rsid w:val="008B1F18"/>
    <w:rsid w:val="008B2F3D"/>
    <w:rsid w:val="008B3825"/>
    <w:rsid w:val="008B45B6"/>
    <w:rsid w:val="008B6A2C"/>
    <w:rsid w:val="008C01C5"/>
    <w:rsid w:val="008C129B"/>
    <w:rsid w:val="008C246F"/>
    <w:rsid w:val="008C2642"/>
    <w:rsid w:val="008C548E"/>
    <w:rsid w:val="008C66B6"/>
    <w:rsid w:val="008C7758"/>
    <w:rsid w:val="008C78AF"/>
    <w:rsid w:val="008C7BFB"/>
    <w:rsid w:val="008D0896"/>
    <w:rsid w:val="008D2B47"/>
    <w:rsid w:val="008D55E0"/>
    <w:rsid w:val="008D69CB"/>
    <w:rsid w:val="008D6B05"/>
    <w:rsid w:val="008D6FB7"/>
    <w:rsid w:val="008E2752"/>
    <w:rsid w:val="008E2E43"/>
    <w:rsid w:val="008E4159"/>
    <w:rsid w:val="008E4BE4"/>
    <w:rsid w:val="008E4E23"/>
    <w:rsid w:val="008E4EF6"/>
    <w:rsid w:val="008E508A"/>
    <w:rsid w:val="008E699C"/>
    <w:rsid w:val="008E6CE7"/>
    <w:rsid w:val="008E7736"/>
    <w:rsid w:val="008E7D64"/>
    <w:rsid w:val="008F0897"/>
    <w:rsid w:val="008F16C3"/>
    <w:rsid w:val="008F2AB0"/>
    <w:rsid w:val="008F340D"/>
    <w:rsid w:val="008F3B03"/>
    <w:rsid w:val="008F3CC7"/>
    <w:rsid w:val="008F3EAF"/>
    <w:rsid w:val="008F40AE"/>
    <w:rsid w:val="008F420B"/>
    <w:rsid w:val="008F4BF2"/>
    <w:rsid w:val="008F6774"/>
    <w:rsid w:val="008F6FA4"/>
    <w:rsid w:val="008F76B8"/>
    <w:rsid w:val="008F78E3"/>
    <w:rsid w:val="008F7B1F"/>
    <w:rsid w:val="00902A8A"/>
    <w:rsid w:val="00905146"/>
    <w:rsid w:val="00911402"/>
    <w:rsid w:val="00912797"/>
    <w:rsid w:val="0091418E"/>
    <w:rsid w:val="00915874"/>
    <w:rsid w:val="00915CEB"/>
    <w:rsid w:val="00916C5F"/>
    <w:rsid w:val="00916E1F"/>
    <w:rsid w:val="009179E0"/>
    <w:rsid w:val="00920D04"/>
    <w:rsid w:val="00923441"/>
    <w:rsid w:val="009237FA"/>
    <w:rsid w:val="0092454B"/>
    <w:rsid w:val="009272BD"/>
    <w:rsid w:val="0092798D"/>
    <w:rsid w:val="00931B7B"/>
    <w:rsid w:val="00932A91"/>
    <w:rsid w:val="00932ED2"/>
    <w:rsid w:val="0093358A"/>
    <w:rsid w:val="0093419A"/>
    <w:rsid w:val="00934B31"/>
    <w:rsid w:val="009379CF"/>
    <w:rsid w:val="009419C2"/>
    <w:rsid w:val="00942F2D"/>
    <w:rsid w:val="00943EAF"/>
    <w:rsid w:val="00943FD4"/>
    <w:rsid w:val="00943FF6"/>
    <w:rsid w:val="00944700"/>
    <w:rsid w:val="00944AD2"/>
    <w:rsid w:val="00947269"/>
    <w:rsid w:val="00947863"/>
    <w:rsid w:val="009500CF"/>
    <w:rsid w:val="009516C7"/>
    <w:rsid w:val="00951919"/>
    <w:rsid w:val="00952E82"/>
    <w:rsid w:val="0095308A"/>
    <w:rsid w:val="0095482D"/>
    <w:rsid w:val="009561C6"/>
    <w:rsid w:val="00957ABC"/>
    <w:rsid w:val="009610B2"/>
    <w:rsid w:val="009669BB"/>
    <w:rsid w:val="0096744B"/>
    <w:rsid w:val="0096785D"/>
    <w:rsid w:val="00971149"/>
    <w:rsid w:val="00971562"/>
    <w:rsid w:val="009717CD"/>
    <w:rsid w:val="009717E6"/>
    <w:rsid w:val="0097276B"/>
    <w:rsid w:val="009729E0"/>
    <w:rsid w:val="009730E9"/>
    <w:rsid w:val="009734AD"/>
    <w:rsid w:val="00974CF6"/>
    <w:rsid w:val="00975698"/>
    <w:rsid w:val="0097682A"/>
    <w:rsid w:val="0098207F"/>
    <w:rsid w:val="009826DB"/>
    <w:rsid w:val="0098431C"/>
    <w:rsid w:val="00985C99"/>
    <w:rsid w:val="0099093D"/>
    <w:rsid w:val="00991450"/>
    <w:rsid w:val="00991709"/>
    <w:rsid w:val="009938BB"/>
    <w:rsid w:val="009944A6"/>
    <w:rsid w:val="009A168C"/>
    <w:rsid w:val="009A3188"/>
    <w:rsid w:val="009A379B"/>
    <w:rsid w:val="009A3DD4"/>
    <w:rsid w:val="009A4261"/>
    <w:rsid w:val="009A5278"/>
    <w:rsid w:val="009A642A"/>
    <w:rsid w:val="009A78F6"/>
    <w:rsid w:val="009A7F04"/>
    <w:rsid w:val="009B4048"/>
    <w:rsid w:val="009B470C"/>
    <w:rsid w:val="009B723F"/>
    <w:rsid w:val="009B76B6"/>
    <w:rsid w:val="009C07A5"/>
    <w:rsid w:val="009C0942"/>
    <w:rsid w:val="009C19E9"/>
    <w:rsid w:val="009C1E75"/>
    <w:rsid w:val="009C1FA3"/>
    <w:rsid w:val="009C229F"/>
    <w:rsid w:val="009C2FAD"/>
    <w:rsid w:val="009C3CBF"/>
    <w:rsid w:val="009C44B8"/>
    <w:rsid w:val="009C6DA3"/>
    <w:rsid w:val="009D0265"/>
    <w:rsid w:val="009D1605"/>
    <w:rsid w:val="009D1B57"/>
    <w:rsid w:val="009D263A"/>
    <w:rsid w:val="009D3044"/>
    <w:rsid w:val="009D7043"/>
    <w:rsid w:val="009E116B"/>
    <w:rsid w:val="009E120D"/>
    <w:rsid w:val="009E318C"/>
    <w:rsid w:val="009E3861"/>
    <w:rsid w:val="009E5882"/>
    <w:rsid w:val="009E639D"/>
    <w:rsid w:val="009E66DA"/>
    <w:rsid w:val="009E7300"/>
    <w:rsid w:val="009F19A5"/>
    <w:rsid w:val="009F35B9"/>
    <w:rsid w:val="00A0065E"/>
    <w:rsid w:val="00A00A14"/>
    <w:rsid w:val="00A0243F"/>
    <w:rsid w:val="00A02D2A"/>
    <w:rsid w:val="00A05330"/>
    <w:rsid w:val="00A062E8"/>
    <w:rsid w:val="00A06755"/>
    <w:rsid w:val="00A0723D"/>
    <w:rsid w:val="00A07830"/>
    <w:rsid w:val="00A0785B"/>
    <w:rsid w:val="00A10FCB"/>
    <w:rsid w:val="00A11A69"/>
    <w:rsid w:val="00A13207"/>
    <w:rsid w:val="00A13F30"/>
    <w:rsid w:val="00A14493"/>
    <w:rsid w:val="00A14D1B"/>
    <w:rsid w:val="00A15029"/>
    <w:rsid w:val="00A15855"/>
    <w:rsid w:val="00A16053"/>
    <w:rsid w:val="00A1646A"/>
    <w:rsid w:val="00A20B88"/>
    <w:rsid w:val="00A20EFC"/>
    <w:rsid w:val="00A20FDB"/>
    <w:rsid w:val="00A21716"/>
    <w:rsid w:val="00A220D8"/>
    <w:rsid w:val="00A22D86"/>
    <w:rsid w:val="00A238B5"/>
    <w:rsid w:val="00A24628"/>
    <w:rsid w:val="00A25C71"/>
    <w:rsid w:val="00A26597"/>
    <w:rsid w:val="00A26DCA"/>
    <w:rsid w:val="00A30224"/>
    <w:rsid w:val="00A333E0"/>
    <w:rsid w:val="00A33532"/>
    <w:rsid w:val="00A362BB"/>
    <w:rsid w:val="00A43B36"/>
    <w:rsid w:val="00A445C1"/>
    <w:rsid w:val="00A456D2"/>
    <w:rsid w:val="00A46891"/>
    <w:rsid w:val="00A46963"/>
    <w:rsid w:val="00A47579"/>
    <w:rsid w:val="00A50DB2"/>
    <w:rsid w:val="00A50E6F"/>
    <w:rsid w:val="00A514C5"/>
    <w:rsid w:val="00A521EA"/>
    <w:rsid w:val="00A52A57"/>
    <w:rsid w:val="00A53B85"/>
    <w:rsid w:val="00A546FB"/>
    <w:rsid w:val="00A54D2B"/>
    <w:rsid w:val="00A56929"/>
    <w:rsid w:val="00A57DCC"/>
    <w:rsid w:val="00A632E7"/>
    <w:rsid w:val="00A63EE8"/>
    <w:rsid w:val="00A64485"/>
    <w:rsid w:val="00A64975"/>
    <w:rsid w:val="00A6674D"/>
    <w:rsid w:val="00A67F4A"/>
    <w:rsid w:val="00A71DD4"/>
    <w:rsid w:val="00A76EE8"/>
    <w:rsid w:val="00A7738E"/>
    <w:rsid w:val="00A80E67"/>
    <w:rsid w:val="00A848FE"/>
    <w:rsid w:val="00A84BD2"/>
    <w:rsid w:val="00A8754A"/>
    <w:rsid w:val="00A90F69"/>
    <w:rsid w:val="00A910E9"/>
    <w:rsid w:val="00A91FC4"/>
    <w:rsid w:val="00A92805"/>
    <w:rsid w:val="00A9334E"/>
    <w:rsid w:val="00A93919"/>
    <w:rsid w:val="00A93B49"/>
    <w:rsid w:val="00A93CE5"/>
    <w:rsid w:val="00A93DBB"/>
    <w:rsid w:val="00A95F51"/>
    <w:rsid w:val="00A96E47"/>
    <w:rsid w:val="00A97A10"/>
    <w:rsid w:val="00AA0033"/>
    <w:rsid w:val="00AA0F7B"/>
    <w:rsid w:val="00AA137D"/>
    <w:rsid w:val="00AA56F5"/>
    <w:rsid w:val="00AA71BF"/>
    <w:rsid w:val="00AB158E"/>
    <w:rsid w:val="00AB260E"/>
    <w:rsid w:val="00AB30FB"/>
    <w:rsid w:val="00AB35DA"/>
    <w:rsid w:val="00AB3F6F"/>
    <w:rsid w:val="00AB5744"/>
    <w:rsid w:val="00AB6AFD"/>
    <w:rsid w:val="00AC1B48"/>
    <w:rsid w:val="00AC2808"/>
    <w:rsid w:val="00AC35BD"/>
    <w:rsid w:val="00AC4874"/>
    <w:rsid w:val="00AD3D29"/>
    <w:rsid w:val="00AD48A7"/>
    <w:rsid w:val="00AD55DC"/>
    <w:rsid w:val="00AD5E65"/>
    <w:rsid w:val="00AD6E84"/>
    <w:rsid w:val="00AD75E6"/>
    <w:rsid w:val="00AD7737"/>
    <w:rsid w:val="00AE079E"/>
    <w:rsid w:val="00AE28DB"/>
    <w:rsid w:val="00AE3352"/>
    <w:rsid w:val="00AE6000"/>
    <w:rsid w:val="00AE7CBF"/>
    <w:rsid w:val="00AE7D6A"/>
    <w:rsid w:val="00AF12EA"/>
    <w:rsid w:val="00AF1BE2"/>
    <w:rsid w:val="00AF6517"/>
    <w:rsid w:val="00AF6AE1"/>
    <w:rsid w:val="00AF78E9"/>
    <w:rsid w:val="00B00683"/>
    <w:rsid w:val="00B00C2B"/>
    <w:rsid w:val="00B00D51"/>
    <w:rsid w:val="00B00E9E"/>
    <w:rsid w:val="00B01B2E"/>
    <w:rsid w:val="00B01DF4"/>
    <w:rsid w:val="00B0357C"/>
    <w:rsid w:val="00B03942"/>
    <w:rsid w:val="00B04020"/>
    <w:rsid w:val="00B0468D"/>
    <w:rsid w:val="00B05DA0"/>
    <w:rsid w:val="00B07106"/>
    <w:rsid w:val="00B07706"/>
    <w:rsid w:val="00B07EC6"/>
    <w:rsid w:val="00B11952"/>
    <w:rsid w:val="00B11F9E"/>
    <w:rsid w:val="00B20C31"/>
    <w:rsid w:val="00B20F6B"/>
    <w:rsid w:val="00B23059"/>
    <w:rsid w:val="00B25A7E"/>
    <w:rsid w:val="00B2675C"/>
    <w:rsid w:val="00B26F7F"/>
    <w:rsid w:val="00B27107"/>
    <w:rsid w:val="00B3055E"/>
    <w:rsid w:val="00B30E1A"/>
    <w:rsid w:val="00B30F40"/>
    <w:rsid w:val="00B322B9"/>
    <w:rsid w:val="00B331A7"/>
    <w:rsid w:val="00B340DA"/>
    <w:rsid w:val="00B377D0"/>
    <w:rsid w:val="00B37FB6"/>
    <w:rsid w:val="00B40830"/>
    <w:rsid w:val="00B40A48"/>
    <w:rsid w:val="00B4269F"/>
    <w:rsid w:val="00B432D2"/>
    <w:rsid w:val="00B439A4"/>
    <w:rsid w:val="00B4449B"/>
    <w:rsid w:val="00B44696"/>
    <w:rsid w:val="00B458A6"/>
    <w:rsid w:val="00B45D71"/>
    <w:rsid w:val="00B4765C"/>
    <w:rsid w:val="00B50B1F"/>
    <w:rsid w:val="00B51432"/>
    <w:rsid w:val="00B531BA"/>
    <w:rsid w:val="00B53D6A"/>
    <w:rsid w:val="00B54B48"/>
    <w:rsid w:val="00B554A3"/>
    <w:rsid w:val="00B61DEC"/>
    <w:rsid w:val="00B620B4"/>
    <w:rsid w:val="00B6223E"/>
    <w:rsid w:val="00B625A2"/>
    <w:rsid w:val="00B64122"/>
    <w:rsid w:val="00B64DF6"/>
    <w:rsid w:val="00B64FED"/>
    <w:rsid w:val="00B65A8A"/>
    <w:rsid w:val="00B7087C"/>
    <w:rsid w:val="00B70AE9"/>
    <w:rsid w:val="00B70B2B"/>
    <w:rsid w:val="00B71390"/>
    <w:rsid w:val="00B71648"/>
    <w:rsid w:val="00B7197B"/>
    <w:rsid w:val="00B72ECB"/>
    <w:rsid w:val="00B734F6"/>
    <w:rsid w:val="00B7457C"/>
    <w:rsid w:val="00B74A5D"/>
    <w:rsid w:val="00B7537C"/>
    <w:rsid w:val="00B75515"/>
    <w:rsid w:val="00B7578F"/>
    <w:rsid w:val="00B803BA"/>
    <w:rsid w:val="00B80AAF"/>
    <w:rsid w:val="00B813B0"/>
    <w:rsid w:val="00B81868"/>
    <w:rsid w:val="00B847A0"/>
    <w:rsid w:val="00B85DFB"/>
    <w:rsid w:val="00B861E2"/>
    <w:rsid w:val="00B87B66"/>
    <w:rsid w:val="00B91B10"/>
    <w:rsid w:val="00BA1254"/>
    <w:rsid w:val="00BA29D6"/>
    <w:rsid w:val="00BA2E79"/>
    <w:rsid w:val="00BA3240"/>
    <w:rsid w:val="00BA52FF"/>
    <w:rsid w:val="00BA6E61"/>
    <w:rsid w:val="00BB14EE"/>
    <w:rsid w:val="00BB31D7"/>
    <w:rsid w:val="00BB5631"/>
    <w:rsid w:val="00BB6CCF"/>
    <w:rsid w:val="00BB7A1E"/>
    <w:rsid w:val="00BB7DE7"/>
    <w:rsid w:val="00BC1380"/>
    <w:rsid w:val="00BC4270"/>
    <w:rsid w:val="00BC47A6"/>
    <w:rsid w:val="00BC688D"/>
    <w:rsid w:val="00BC6FC7"/>
    <w:rsid w:val="00BC73FC"/>
    <w:rsid w:val="00BD337F"/>
    <w:rsid w:val="00BD4246"/>
    <w:rsid w:val="00BD4381"/>
    <w:rsid w:val="00BD5C52"/>
    <w:rsid w:val="00BD62F0"/>
    <w:rsid w:val="00BD6930"/>
    <w:rsid w:val="00BD70E4"/>
    <w:rsid w:val="00BE0098"/>
    <w:rsid w:val="00BE06F4"/>
    <w:rsid w:val="00BE0FDF"/>
    <w:rsid w:val="00BE163D"/>
    <w:rsid w:val="00BE1C4B"/>
    <w:rsid w:val="00BE1EF3"/>
    <w:rsid w:val="00BE2552"/>
    <w:rsid w:val="00BE27E9"/>
    <w:rsid w:val="00BE5DF1"/>
    <w:rsid w:val="00BF1C2E"/>
    <w:rsid w:val="00BF2848"/>
    <w:rsid w:val="00BF30D6"/>
    <w:rsid w:val="00BF3A63"/>
    <w:rsid w:val="00BF43E9"/>
    <w:rsid w:val="00BF65FF"/>
    <w:rsid w:val="00C01DAD"/>
    <w:rsid w:val="00C02524"/>
    <w:rsid w:val="00C040D6"/>
    <w:rsid w:val="00C04401"/>
    <w:rsid w:val="00C04BF5"/>
    <w:rsid w:val="00C07CE8"/>
    <w:rsid w:val="00C1047D"/>
    <w:rsid w:val="00C11389"/>
    <w:rsid w:val="00C124ED"/>
    <w:rsid w:val="00C12885"/>
    <w:rsid w:val="00C12B52"/>
    <w:rsid w:val="00C13361"/>
    <w:rsid w:val="00C1366A"/>
    <w:rsid w:val="00C1409F"/>
    <w:rsid w:val="00C17F5A"/>
    <w:rsid w:val="00C20381"/>
    <w:rsid w:val="00C204BA"/>
    <w:rsid w:val="00C20991"/>
    <w:rsid w:val="00C2149C"/>
    <w:rsid w:val="00C21A25"/>
    <w:rsid w:val="00C21D62"/>
    <w:rsid w:val="00C235F2"/>
    <w:rsid w:val="00C23C44"/>
    <w:rsid w:val="00C30079"/>
    <w:rsid w:val="00C305AE"/>
    <w:rsid w:val="00C32C90"/>
    <w:rsid w:val="00C34062"/>
    <w:rsid w:val="00C34EAA"/>
    <w:rsid w:val="00C362E4"/>
    <w:rsid w:val="00C36715"/>
    <w:rsid w:val="00C37A0D"/>
    <w:rsid w:val="00C41441"/>
    <w:rsid w:val="00C4156D"/>
    <w:rsid w:val="00C41F3E"/>
    <w:rsid w:val="00C43D91"/>
    <w:rsid w:val="00C43FA8"/>
    <w:rsid w:val="00C444EA"/>
    <w:rsid w:val="00C44A27"/>
    <w:rsid w:val="00C44F1E"/>
    <w:rsid w:val="00C45269"/>
    <w:rsid w:val="00C45E08"/>
    <w:rsid w:val="00C478A7"/>
    <w:rsid w:val="00C500CF"/>
    <w:rsid w:val="00C51215"/>
    <w:rsid w:val="00C516C8"/>
    <w:rsid w:val="00C51ED8"/>
    <w:rsid w:val="00C54D1F"/>
    <w:rsid w:val="00C5679D"/>
    <w:rsid w:val="00C610A4"/>
    <w:rsid w:val="00C61F62"/>
    <w:rsid w:val="00C62809"/>
    <w:rsid w:val="00C63638"/>
    <w:rsid w:val="00C700AB"/>
    <w:rsid w:val="00C703ED"/>
    <w:rsid w:val="00C70501"/>
    <w:rsid w:val="00C70652"/>
    <w:rsid w:val="00C738BE"/>
    <w:rsid w:val="00C73BE0"/>
    <w:rsid w:val="00C73D6C"/>
    <w:rsid w:val="00C74B16"/>
    <w:rsid w:val="00C76D89"/>
    <w:rsid w:val="00C76E41"/>
    <w:rsid w:val="00C76FBA"/>
    <w:rsid w:val="00C80805"/>
    <w:rsid w:val="00C8203E"/>
    <w:rsid w:val="00C83A82"/>
    <w:rsid w:val="00C87698"/>
    <w:rsid w:val="00C90425"/>
    <w:rsid w:val="00C92D5A"/>
    <w:rsid w:val="00C94356"/>
    <w:rsid w:val="00C9507E"/>
    <w:rsid w:val="00C95DE1"/>
    <w:rsid w:val="00C9613A"/>
    <w:rsid w:val="00CA11CB"/>
    <w:rsid w:val="00CA178B"/>
    <w:rsid w:val="00CA2DBC"/>
    <w:rsid w:val="00CA2EF0"/>
    <w:rsid w:val="00CA3455"/>
    <w:rsid w:val="00CA37DC"/>
    <w:rsid w:val="00CA3CA1"/>
    <w:rsid w:val="00CA5E8D"/>
    <w:rsid w:val="00CA7E5D"/>
    <w:rsid w:val="00CB0A2C"/>
    <w:rsid w:val="00CB19A0"/>
    <w:rsid w:val="00CB276C"/>
    <w:rsid w:val="00CB4D31"/>
    <w:rsid w:val="00CB4DAA"/>
    <w:rsid w:val="00CB52E9"/>
    <w:rsid w:val="00CB6FCE"/>
    <w:rsid w:val="00CC1042"/>
    <w:rsid w:val="00CC3E86"/>
    <w:rsid w:val="00CC420D"/>
    <w:rsid w:val="00CC4BC9"/>
    <w:rsid w:val="00CC69A8"/>
    <w:rsid w:val="00CC6D91"/>
    <w:rsid w:val="00CD1EC7"/>
    <w:rsid w:val="00CD6890"/>
    <w:rsid w:val="00CE1AAA"/>
    <w:rsid w:val="00CE1CD9"/>
    <w:rsid w:val="00CE24B9"/>
    <w:rsid w:val="00CE5F18"/>
    <w:rsid w:val="00CE7258"/>
    <w:rsid w:val="00CE7450"/>
    <w:rsid w:val="00CF0616"/>
    <w:rsid w:val="00CF1017"/>
    <w:rsid w:val="00CF136A"/>
    <w:rsid w:val="00CF2904"/>
    <w:rsid w:val="00CF3D48"/>
    <w:rsid w:val="00CF48E6"/>
    <w:rsid w:val="00CF48FD"/>
    <w:rsid w:val="00CF4D9A"/>
    <w:rsid w:val="00CF5A90"/>
    <w:rsid w:val="00CF5B85"/>
    <w:rsid w:val="00CF701F"/>
    <w:rsid w:val="00D0099E"/>
    <w:rsid w:val="00D009C8"/>
    <w:rsid w:val="00D01290"/>
    <w:rsid w:val="00D01E4E"/>
    <w:rsid w:val="00D02C7C"/>
    <w:rsid w:val="00D03D5A"/>
    <w:rsid w:val="00D04317"/>
    <w:rsid w:val="00D04EB2"/>
    <w:rsid w:val="00D05BBA"/>
    <w:rsid w:val="00D1347D"/>
    <w:rsid w:val="00D15FED"/>
    <w:rsid w:val="00D16E1E"/>
    <w:rsid w:val="00D17523"/>
    <w:rsid w:val="00D26A27"/>
    <w:rsid w:val="00D26C63"/>
    <w:rsid w:val="00D27680"/>
    <w:rsid w:val="00D27D33"/>
    <w:rsid w:val="00D27FC7"/>
    <w:rsid w:val="00D30E82"/>
    <w:rsid w:val="00D31284"/>
    <w:rsid w:val="00D326CA"/>
    <w:rsid w:val="00D3281A"/>
    <w:rsid w:val="00D330F6"/>
    <w:rsid w:val="00D33C84"/>
    <w:rsid w:val="00D341A9"/>
    <w:rsid w:val="00D40361"/>
    <w:rsid w:val="00D40CF7"/>
    <w:rsid w:val="00D40E2D"/>
    <w:rsid w:val="00D4147D"/>
    <w:rsid w:val="00D43D21"/>
    <w:rsid w:val="00D4425F"/>
    <w:rsid w:val="00D44368"/>
    <w:rsid w:val="00D449E7"/>
    <w:rsid w:val="00D450AF"/>
    <w:rsid w:val="00D508C2"/>
    <w:rsid w:val="00D52918"/>
    <w:rsid w:val="00D55473"/>
    <w:rsid w:val="00D60B29"/>
    <w:rsid w:val="00D61FCC"/>
    <w:rsid w:val="00D62D08"/>
    <w:rsid w:val="00D63B18"/>
    <w:rsid w:val="00D6567B"/>
    <w:rsid w:val="00D66CC7"/>
    <w:rsid w:val="00D70D0C"/>
    <w:rsid w:val="00D70D75"/>
    <w:rsid w:val="00D715B8"/>
    <w:rsid w:val="00D72F0B"/>
    <w:rsid w:val="00D73891"/>
    <w:rsid w:val="00D74206"/>
    <w:rsid w:val="00D74A30"/>
    <w:rsid w:val="00D75151"/>
    <w:rsid w:val="00D75BBE"/>
    <w:rsid w:val="00D80587"/>
    <w:rsid w:val="00D80B4D"/>
    <w:rsid w:val="00D8517A"/>
    <w:rsid w:val="00D85924"/>
    <w:rsid w:val="00D87738"/>
    <w:rsid w:val="00D87AF0"/>
    <w:rsid w:val="00D91D1A"/>
    <w:rsid w:val="00D91D3B"/>
    <w:rsid w:val="00D93FA5"/>
    <w:rsid w:val="00D945FA"/>
    <w:rsid w:val="00D9760B"/>
    <w:rsid w:val="00D97FB0"/>
    <w:rsid w:val="00DA1398"/>
    <w:rsid w:val="00DA4ABB"/>
    <w:rsid w:val="00DA5717"/>
    <w:rsid w:val="00DA634E"/>
    <w:rsid w:val="00DA7499"/>
    <w:rsid w:val="00DB0E0A"/>
    <w:rsid w:val="00DB11B3"/>
    <w:rsid w:val="00DB203E"/>
    <w:rsid w:val="00DB20B6"/>
    <w:rsid w:val="00DB299F"/>
    <w:rsid w:val="00DB4FF4"/>
    <w:rsid w:val="00DB5285"/>
    <w:rsid w:val="00DC093F"/>
    <w:rsid w:val="00DC1338"/>
    <w:rsid w:val="00DC1CB9"/>
    <w:rsid w:val="00DC1CDB"/>
    <w:rsid w:val="00DC4200"/>
    <w:rsid w:val="00DC4E08"/>
    <w:rsid w:val="00DC527B"/>
    <w:rsid w:val="00DC5ABE"/>
    <w:rsid w:val="00DC657F"/>
    <w:rsid w:val="00DC78C1"/>
    <w:rsid w:val="00DC7906"/>
    <w:rsid w:val="00DC79F2"/>
    <w:rsid w:val="00DD0C29"/>
    <w:rsid w:val="00DD1FC9"/>
    <w:rsid w:val="00DD3968"/>
    <w:rsid w:val="00DD4CAE"/>
    <w:rsid w:val="00DD5338"/>
    <w:rsid w:val="00DD6388"/>
    <w:rsid w:val="00DD6468"/>
    <w:rsid w:val="00DD7221"/>
    <w:rsid w:val="00DD7475"/>
    <w:rsid w:val="00DE0D2F"/>
    <w:rsid w:val="00DE19A7"/>
    <w:rsid w:val="00DE1A81"/>
    <w:rsid w:val="00DE1FA0"/>
    <w:rsid w:val="00DE2542"/>
    <w:rsid w:val="00DE3863"/>
    <w:rsid w:val="00DE3ECC"/>
    <w:rsid w:val="00DE3F63"/>
    <w:rsid w:val="00DE5116"/>
    <w:rsid w:val="00DE5D8F"/>
    <w:rsid w:val="00DE7D7F"/>
    <w:rsid w:val="00DF0271"/>
    <w:rsid w:val="00DF0BD0"/>
    <w:rsid w:val="00DF33F0"/>
    <w:rsid w:val="00DF5368"/>
    <w:rsid w:val="00DF6F0A"/>
    <w:rsid w:val="00DF712F"/>
    <w:rsid w:val="00DF7F7C"/>
    <w:rsid w:val="00E00E28"/>
    <w:rsid w:val="00E0240E"/>
    <w:rsid w:val="00E0404F"/>
    <w:rsid w:val="00E05960"/>
    <w:rsid w:val="00E07B86"/>
    <w:rsid w:val="00E07E98"/>
    <w:rsid w:val="00E10A4D"/>
    <w:rsid w:val="00E10C64"/>
    <w:rsid w:val="00E168B7"/>
    <w:rsid w:val="00E209FF"/>
    <w:rsid w:val="00E21CF3"/>
    <w:rsid w:val="00E225C8"/>
    <w:rsid w:val="00E233F0"/>
    <w:rsid w:val="00E24F56"/>
    <w:rsid w:val="00E25A47"/>
    <w:rsid w:val="00E30A2D"/>
    <w:rsid w:val="00E3484D"/>
    <w:rsid w:val="00E34FEF"/>
    <w:rsid w:val="00E35461"/>
    <w:rsid w:val="00E35E95"/>
    <w:rsid w:val="00E35EE2"/>
    <w:rsid w:val="00E36020"/>
    <w:rsid w:val="00E36C6B"/>
    <w:rsid w:val="00E37374"/>
    <w:rsid w:val="00E40688"/>
    <w:rsid w:val="00E40741"/>
    <w:rsid w:val="00E430AC"/>
    <w:rsid w:val="00E444B5"/>
    <w:rsid w:val="00E4518A"/>
    <w:rsid w:val="00E4564E"/>
    <w:rsid w:val="00E4585C"/>
    <w:rsid w:val="00E4599A"/>
    <w:rsid w:val="00E470C4"/>
    <w:rsid w:val="00E476E6"/>
    <w:rsid w:val="00E47E1D"/>
    <w:rsid w:val="00E51187"/>
    <w:rsid w:val="00E51A62"/>
    <w:rsid w:val="00E52833"/>
    <w:rsid w:val="00E53842"/>
    <w:rsid w:val="00E54079"/>
    <w:rsid w:val="00E547BA"/>
    <w:rsid w:val="00E56A79"/>
    <w:rsid w:val="00E56B0B"/>
    <w:rsid w:val="00E5731C"/>
    <w:rsid w:val="00E60339"/>
    <w:rsid w:val="00E61588"/>
    <w:rsid w:val="00E63989"/>
    <w:rsid w:val="00E676B6"/>
    <w:rsid w:val="00E7031D"/>
    <w:rsid w:val="00E70445"/>
    <w:rsid w:val="00E70B86"/>
    <w:rsid w:val="00E7135C"/>
    <w:rsid w:val="00E73C3B"/>
    <w:rsid w:val="00E75475"/>
    <w:rsid w:val="00E75A88"/>
    <w:rsid w:val="00E7637D"/>
    <w:rsid w:val="00E77EDF"/>
    <w:rsid w:val="00E81B78"/>
    <w:rsid w:val="00E8331C"/>
    <w:rsid w:val="00E83BD6"/>
    <w:rsid w:val="00E85181"/>
    <w:rsid w:val="00E85217"/>
    <w:rsid w:val="00E86A73"/>
    <w:rsid w:val="00E873D2"/>
    <w:rsid w:val="00E94C73"/>
    <w:rsid w:val="00E97241"/>
    <w:rsid w:val="00EA12A4"/>
    <w:rsid w:val="00EA274D"/>
    <w:rsid w:val="00EA329C"/>
    <w:rsid w:val="00EA3EA6"/>
    <w:rsid w:val="00EA44FD"/>
    <w:rsid w:val="00EA4BD1"/>
    <w:rsid w:val="00EA4C3D"/>
    <w:rsid w:val="00EA4D67"/>
    <w:rsid w:val="00EA508F"/>
    <w:rsid w:val="00EA616E"/>
    <w:rsid w:val="00EB55EA"/>
    <w:rsid w:val="00EB71B7"/>
    <w:rsid w:val="00EB735F"/>
    <w:rsid w:val="00EB7A04"/>
    <w:rsid w:val="00EC068C"/>
    <w:rsid w:val="00EC0E3F"/>
    <w:rsid w:val="00EC1353"/>
    <w:rsid w:val="00EC1447"/>
    <w:rsid w:val="00EC1E48"/>
    <w:rsid w:val="00EC1E66"/>
    <w:rsid w:val="00EC3ECF"/>
    <w:rsid w:val="00EC504A"/>
    <w:rsid w:val="00EC5BB8"/>
    <w:rsid w:val="00EC65A5"/>
    <w:rsid w:val="00EC65D1"/>
    <w:rsid w:val="00EC796A"/>
    <w:rsid w:val="00ED062D"/>
    <w:rsid w:val="00ED2371"/>
    <w:rsid w:val="00ED3513"/>
    <w:rsid w:val="00ED37AA"/>
    <w:rsid w:val="00ED469F"/>
    <w:rsid w:val="00ED54D4"/>
    <w:rsid w:val="00ED55DD"/>
    <w:rsid w:val="00ED6FD7"/>
    <w:rsid w:val="00ED74DB"/>
    <w:rsid w:val="00ED76CF"/>
    <w:rsid w:val="00EE1215"/>
    <w:rsid w:val="00EE1846"/>
    <w:rsid w:val="00EE18AB"/>
    <w:rsid w:val="00EE2005"/>
    <w:rsid w:val="00EE2B75"/>
    <w:rsid w:val="00EE3E5A"/>
    <w:rsid w:val="00EE4499"/>
    <w:rsid w:val="00EE47D9"/>
    <w:rsid w:val="00EE5414"/>
    <w:rsid w:val="00EE5529"/>
    <w:rsid w:val="00EF0EF9"/>
    <w:rsid w:val="00EF123F"/>
    <w:rsid w:val="00EF2AA8"/>
    <w:rsid w:val="00EF2EB6"/>
    <w:rsid w:val="00EF49C8"/>
    <w:rsid w:val="00EF4F2E"/>
    <w:rsid w:val="00EF5BC3"/>
    <w:rsid w:val="00EF6382"/>
    <w:rsid w:val="00EF68FE"/>
    <w:rsid w:val="00EF75DD"/>
    <w:rsid w:val="00F0060B"/>
    <w:rsid w:val="00F00DE5"/>
    <w:rsid w:val="00F0285E"/>
    <w:rsid w:val="00F03C41"/>
    <w:rsid w:val="00F04423"/>
    <w:rsid w:val="00F05823"/>
    <w:rsid w:val="00F067A2"/>
    <w:rsid w:val="00F0757E"/>
    <w:rsid w:val="00F10FCC"/>
    <w:rsid w:val="00F13C43"/>
    <w:rsid w:val="00F144F1"/>
    <w:rsid w:val="00F15BD6"/>
    <w:rsid w:val="00F1672D"/>
    <w:rsid w:val="00F16D98"/>
    <w:rsid w:val="00F21345"/>
    <w:rsid w:val="00F24414"/>
    <w:rsid w:val="00F25362"/>
    <w:rsid w:val="00F26D09"/>
    <w:rsid w:val="00F2712F"/>
    <w:rsid w:val="00F314BE"/>
    <w:rsid w:val="00F32146"/>
    <w:rsid w:val="00F324B0"/>
    <w:rsid w:val="00F34E77"/>
    <w:rsid w:val="00F354E3"/>
    <w:rsid w:val="00F3671F"/>
    <w:rsid w:val="00F368B8"/>
    <w:rsid w:val="00F369E9"/>
    <w:rsid w:val="00F400AF"/>
    <w:rsid w:val="00F411CF"/>
    <w:rsid w:val="00F42A74"/>
    <w:rsid w:val="00F42EC7"/>
    <w:rsid w:val="00F437D5"/>
    <w:rsid w:val="00F43C6E"/>
    <w:rsid w:val="00F4404B"/>
    <w:rsid w:val="00F442C6"/>
    <w:rsid w:val="00F4431C"/>
    <w:rsid w:val="00F45DA3"/>
    <w:rsid w:val="00F479C7"/>
    <w:rsid w:val="00F5000B"/>
    <w:rsid w:val="00F51889"/>
    <w:rsid w:val="00F522A2"/>
    <w:rsid w:val="00F54F59"/>
    <w:rsid w:val="00F550DE"/>
    <w:rsid w:val="00F55D31"/>
    <w:rsid w:val="00F56743"/>
    <w:rsid w:val="00F60109"/>
    <w:rsid w:val="00F60B1C"/>
    <w:rsid w:val="00F62284"/>
    <w:rsid w:val="00F627E9"/>
    <w:rsid w:val="00F62CD5"/>
    <w:rsid w:val="00F6363E"/>
    <w:rsid w:val="00F65D8B"/>
    <w:rsid w:val="00F6669F"/>
    <w:rsid w:val="00F702E5"/>
    <w:rsid w:val="00F704AB"/>
    <w:rsid w:val="00F72429"/>
    <w:rsid w:val="00F74085"/>
    <w:rsid w:val="00F76DC8"/>
    <w:rsid w:val="00F77330"/>
    <w:rsid w:val="00F820AE"/>
    <w:rsid w:val="00F82593"/>
    <w:rsid w:val="00F82728"/>
    <w:rsid w:val="00F84D88"/>
    <w:rsid w:val="00F85B9A"/>
    <w:rsid w:val="00F85FD7"/>
    <w:rsid w:val="00F876C3"/>
    <w:rsid w:val="00F9000F"/>
    <w:rsid w:val="00F90ECC"/>
    <w:rsid w:val="00F92F47"/>
    <w:rsid w:val="00F93268"/>
    <w:rsid w:val="00F94230"/>
    <w:rsid w:val="00F95F01"/>
    <w:rsid w:val="00F9651E"/>
    <w:rsid w:val="00F96A32"/>
    <w:rsid w:val="00F97DA5"/>
    <w:rsid w:val="00FA415C"/>
    <w:rsid w:val="00FA50E7"/>
    <w:rsid w:val="00FA5495"/>
    <w:rsid w:val="00FA772C"/>
    <w:rsid w:val="00FB071A"/>
    <w:rsid w:val="00FB12CB"/>
    <w:rsid w:val="00FB462B"/>
    <w:rsid w:val="00FB6759"/>
    <w:rsid w:val="00FB7660"/>
    <w:rsid w:val="00FC03A4"/>
    <w:rsid w:val="00FC1697"/>
    <w:rsid w:val="00FC209E"/>
    <w:rsid w:val="00FC249E"/>
    <w:rsid w:val="00FC33DD"/>
    <w:rsid w:val="00FC469F"/>
    <w:rsid w:val="00FC5B19"/>
    <w:rsid w:val="00FD1058"/>
    <w:rsid w:val="00FD1608"/>
    <w:rsid w:val="00FD3128"/>
    <w:rsid w:val="00FD3A5D"/>
    <w:rsid w:val="00FD4B34"/>
    <w:rsid w:val="00FD61FC"/>
    <w:rsid w:val="00FE034D"/>
    <w:rsid w:val="00FE1794"/>
    <w:rsid w:val="00FE22A4"/>
    <w:rsid w:val="00FE319D"/>
    <w:rsid w:val="00FE75EE"/>
    <w:rsid w:val="00FE79F5"/>
    <w:rsid w:val="00FF1211"/>
    <w:rsid w:val="00FF5001"/>
    <w:rsid w:val="00FF52E1"/>
    <w:rsid w:val="00FF56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1530"/>
  <w15:docId w15:val="{E8E86F71-94A7-43B0-AA78-C385D858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2BCB"/>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5167D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167D8"/>
    <w:rPr>
      <w:rFonts w:ascii="Tahoma" w:eastAsia="Times New Roman" w:hAnsi="Tahoma" w:cs="Tahoma"/>
      <w:sz w:val="16"/>
      <w:szCs w:val="16"/>
      <w:lang w:eastAsia="lv-LV"/>
    </w:rPr>
  </w:style>
  <w:style w:type="paragraph" w:styleId="Sarakstarindkopa">
    <w:name w:val="List Paragraph"/>
    <w:basedOn w:val="Parasts"/>
    <w:uiPriority w:val="34"/>
    <w:qFormat/>
    <w:rsid w:val="00461C9D"/>
    <w:pPr>
      <w:ind w:left="720"/>
      <w:contextualSpacing/>
    </w:pPr>
  </w:style>
  <w:style w:type="paragraph" w:styleId="Galvene">
    <w:name w:val="header"/>
    <w:basedOn w:val="Parasts"/>
    <w:link w:val="GalveneRakstz"/>
    <w:uiPriority w:val="99"/>
    <w:unhideWhenUsed/>
    <w:rsid w:val="005B020F"/>
    <w:pPr>
      <w:tabs>
        <w:tab w:val="center" w:pos="4153"/>
        <w:tab w:val="right" w:pos="8306"/>
      </w:tabs>
    </w:pPr>
  </w:style>
  <w:style w:type="character" w:customStyle="1" w:styleId="GalveneRakstz">
    <w:name w:val="Galvene Rakstz."/>
    <w:basedOn w:val="Noklusjumarindkopasfonts"/>
    <w:link w:val="Galvene"/>
    <w:uiPriority w:val="99"/>
    <w:rsid w:val="005B020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B020F"/>
    <w:pPr>
      <w:tabs>
        <w:tab w:val="center" w:pos="4153"/>
        <w:tab w:val="right" w:pos="8306"/>
      </w:tabs>
    </w:pPr>
  </w:style>
  <w:style w:type="character" w:customStyle="1" w:styleId="KjeneRakstz">
    <w:name w:val="Kājene Rakstz."/>
    <w:basedOn w:val="Noklusjumarindkopasfonts"/>
    <w:link w:val="Kjene"/>
    <w:uiPriority w:val="99"/>
    <w:rsid w:val="005B020F"/>
    <w:rPr>
      <w:rFonts w:ascii="Times New Roman" w:eastAsia="Times New Roman" w:hAnsi="Times New Roman" w:cs="Times New Roman"/>
      <w:sz w:val="24"/>
      <w:szCs w:val="24"/>
      <w:lang w:eastAsia="lv-LV"/>
    </w:rPr>
  </w:style>
  <w:style w:type="table" w:styleId="Reatabula">
    <w:name w:val="Table Grid"/>
    <w:basedOn w:val="Parastatabula"/>
    <w:uiPriority w:val="59"/>
    <w:rsid w:val="0043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FC5B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691">
      <w:bodyDiv w:val="1"/>
      <w:marLeft w:val="0"/>
      <w:marRight w:val="0"/>
      <w:marTop w:val="0"/>
      <w:marBottom w:val="0"/>
      <w:divBdr>
        <w:top w:val="none" w:sz="0" w:space="0" w:color="auto"/>
        <w:left w:val="none" w:sz="0" w:space="0" w:color="auto"/>
        <w:bottom w:val="none" w:sz="0" w:space="0" w:color="auto"/>
        <w:right w:val="none" w:sz="0" w:space="0" w:color="auto"/>
      </w:divBdr>
    </w:div>
    <w:div w:id="31812029">
      <w:bodyDiv w:val="1"/>
      <w:marLeft w:val="0"/>
      <w:marRight w:val="0"/>
      <w:marTop w:val="0"/>
      <w:marBottom w:val="0"/>
      <w:divBdr>
        <w:top w:val="none" w:sz="0" w:space="0" w:color="auto"/>
        <w:left w:val="none" w:sz="0" w:space="0" w:color="auto"/>
        <w:bottom w:val="none" w:sz="0" w:space="0" w:color="auto"/>
        <w:right w:val="none" w:sz="0" w:space="0" w:color="auto"/>
      </w:divBdr>
    </w:div>
    <w:div w:id="35743788">
      <w:bodyDiv w:val="1"/>
      <w:marLeft w:val="0"/>
      <w:marRight w:val="0"/>
      <w:marTop w:val="0"/>
      <w:marBottom w:val="0"/>
      <w:divBdr>
        <w:top w:val="none" w:sz="0" w:space="0" w:color="auto"/>
        <w:left w:val="none" w:sz="0" w:space="0" w:color="auto"/>
        <w:bottom w:val="none" w:sz="0" w:space="0" w:color="auto"/>
        <w:right w:val="none" w:sz="0" w:space="0" w:color="auto"/>
      </w:divBdr>
    </w:div>
    <w:div w:id="95641144">
      <w:bodyDiv w:val="1"/>
      <w:marLeft w:val="0"/>
      <w:marRight w:val="0"/>
      <w:marTop w:val="0"/>
      <w:marBottom w:val="0"/>
      <w:divBdr>
        <w:top w:val="none" w:sz="0" w:space="0" w:color="auto"/>
        <w:left w:val="none" w:sz="0" w:space="0" w:color="auto"/>
        <w:bottom w:val="none" w:sz="0" w:space="0" w:color="auto"/>
        <w:right w:val="none" w:sz="0" w:space="0" w:color="auto"/>
      </w:divBdr>
    </w:div>
    <w:div w:id="98188079">
      <w:bodyDiv w:val="1"/>
      <w:marLeft w:val="0"/>
      <w:marRight w:val="0"/>
      <w:marTop w:val="0"/>
      <w:marBottom w:val="0"/>
      <w:divBdr>
        <w:top w:val="none" w:sz="0" w:space="0" w:color="auto"/>
        <w:left w:val="none" w:sz="0" w:space="0" w:color="auto"/>
        <w:bottom w:val="none" w:sz="0" w:space="0" w:color="auto"/>
        <w:right w:val="none" w:sz="0" w:space="0" w:color="auto"/>
      </w:divBdr>
    </w:div>
    <w:div w:id="165175513">
      <w:bodyDiv w:val="1"/>
      <w:marLeft w:val="0"/>
      <w:marRight w:val="0"/>
      <w:marTop w:val="0"/>
      <w:marBottom w:val="0"/>
      <w:divBdr>
        <w:top w:val="none" w:sz="0" w:space="0" w:color="auto"/>
        <w:left w:val="none" w:sz="0" w:space="0" w:color="auto"/>
        <w:bottom w:val="none" w:sz="0" w:space="0" w:color="auto"/>
        <w:right w:val="none" w:sz="0" w:space="0" w:color="auto"/>
      </w:divBdr>
    </w:div>
    <w:div w:id="187373855">
      <w:bodyDiv w:val="1"/>
      <w:marLeft w:val="0"/>
      <w:marRight w:val="0"/>
      <w:marTop w:val="0"/>
      <w:marBottom w:val="0"/>
      <w:divBdr>
        <w:top w:val="none" w:sz="0" w:space="0" w:color="auto"/>
        <w:left w:val="none" w:sz="0" w:space="0" w:color="auto"/>
        <w:bottom w:val="none" w:sz="0" w:space="0" w:color="auto"/>
        <w:right w:val="none" w:sz="0" w:space="0" w:color="auto"/>
      </w:divBdr>
    </w:div>
    <w:div w:id="257757788">
      <w:bodyDiv w:val="1"/>
      <w:marLeft w:val="0"/>
      <w:marRight w:val="0"/>
      <w:marTop w:val="0"/>
      <w:marBottom w:val="0"/>
      <w:divBdr>
        <w:top w:val="none" w:sz="0" w:space="0" w:color="auto"/>
        <w:left w:val="none" w:sz="0" w:space="0" w:color="auto"/>
        <w:bottom w:val="none" w:sz="0" w:space="0" w:color="auto"/>
        <w:right w:val="none" w:sz="0" w:space="0" w:color="auto"/>
      </w:divBdr>
    </w:div>
    <w:div w:id="266086933">
      <w:bodyDiv w:val="1"/>
      <w:marLeft w:val="0"/>
      <w:marRight w:val="0"/>
      <w:marTop w:val="0"/>
      <w:marBottom w:val="0"/>
      <w:divBdr>
        <w:top w:val="none" w:sz="0" w:space="0" w:color="auto"/>
        <w:left w:val="none" w:sz="0" w:space="0" w:color="auto"/>
        <w:bottom w:val="none" w:sz="0" w:space="0" w:color="auto"/>
        <w:right w:val="none" w:sz="0" w:space="0" w:color="auto"/>
      </w:divBdr>
    </w:div>
    <w:div w:id="290671323">
      <w:bodyDiv w:val="1"/>
      <w:marLeft w:val="0"/>
      <w:marRight w:val="0"/>
      <w:marTop w:val="0"/>
      <w:marBottom w:val="0"/>
      <w:divBdr>
        <w:top w:val="none" w:sz="0" w:space="0" w:color="auto"/>
        <w:left w:val="none" w:sz="0" w:space="0" w:color="auto"/>
        <w:bottom w:val="none" w:sz="0" w:space="0" w:color="auto"/>
        <w:right w:val="none" w:sz="0" w:space="0" w:color="auto"/>
      </w:divBdr>
    </w:div>
    <w:div w:id="394280099">
      <w:bodyDiv w:val="1"/>
      <w:marLeft w:val="0"/>
      <w:marRight w:val="0"/>
      <w:marTop w:val="0"/>
      <w:marBottom w:val="0"/>
      <w:divBdr>
        <w:top w:val="none" w:sz="0" w:space="0" w:color="auto"/>
        <w:left w:val="none" w:sz="0" w:space="0" w:color="auto"/>
        <w:bottom w:val="none" w:sz="0" w:space="0" w:color="auto"/>
        <w:right w:val="none" w:sz="0" w:space="0" w:color="auto"/>
      </w:divBdr>
    </w:div>
    <w:div w:id="417169278">
      <w:bodyDiv w:val="1"/>
      <w:marLeft w:val="0"/>
      <w:marRight w:val="0"/>
      <w:marTop w:val="0"/>
      <w:marBottom w:val="0"/>
      <w:divBdr>
        <w:top w:val="none" w:sz="0" w:space="0" w:color="auto"/>
        <w:left w:val="none" w:sz="0" w:space="0" w:color="auto"/>
        <w:bottom w:val="none" w:sz="0" w:space="0" w:color="auto"/>
        <w:right w:val="none" w:sz="0" w:space="0" w:color="auto"/>
      </w:divBdr>
    </w:div>
    <w:div w:id="426194431">
      <w:bodyDiv w:val="1"/>
      <w:marLeft w:val="0"/>
      <w:marRight w:val="0"/>
      <w:marTop w:val="0"/>
      <w:marBottom w:val="0"/>
      <w:divBdr>
        <w:top w:val="none" w:sz="0" w:space="0" w:color="auto"/>
        <w:left w:val="none" w:sz="0" w:space="0" w:color="auto"/>
        <w:bottom w:val="none" w:sz="0" w:space="0" w:color="auto"/>
        <w:right w:val="none" w:sz="0" w:space="0" w:color="auto"/>
      </w:divBdr>
    </w:div>
    <w:div w:id="504980517">
      <w:bodyDiv w:val="1"/>
      <w:marLeft w:val="0"/>
      <w:marRight w:val="0"/>
      <w:marTop w:val="0"/>
      <w:marBottom w:val="0"/>
      <w:divBdr>
        <w:top w:val="none" w:sz="0" w:space="0" w:color="auto"/>
        <w:left w:val="none" w:sz="0" w:space="0" w:color="auto"/>
        <w:bottom w:val="none" w:sz="0" w:space="0" w:color="auto"/>
        <w:right w:val="none" w:sz="0" w:space="0" w:color="auto"/>
      </w:divBdr>
    </w:div>
    <w:div w:id="513810912">
      <w:bodyDiv w:val="1"/>
      <w:marLeft w:val="0"/>
      <w:marRight w:val="0"/>
      <w:marTop w:val="0"/>
      <w:marBottom w:val="0"/>
      <w:divBdr>
        <w:top w:val="none" w:sz="0" w:space="0" w:color="auto"/>
        <w:left w:val="none" w:sz="0" w:space="0" w:color="auto"/>
        <w:bottom w:val="none" w:sz="0" w:space="0" w:color="auto"/>
        <w:right w:val="none" w:sz="0" w:space="0" w:color="auto"/>
      </w:divBdr>
    </w:div>
    <w:div w:id="517046244">
      <w:bodyDiv w:val="1"/>
      <w:marLeft w:val="0"/>
      <w:marRight w:val="0"/>
      <w:marTop w:val="0"/>
      <w:marBottom w:val="0"/>
      <w:divBdr>
        <w:top w:val="none" w:sz="0" w:space="0" w:color="auto"/>
        <w:left w:val="none" w:sz="0" w:space="0" w:color="auto"/>
        <w:bottom w:val="none" w:sz="0" w:space="0" w:color="auto"/>
        <w:right w:val="none" w:sz="0" w:space="0" w:color="auto"/>
      </w:divBdr>
    </w:div>
    <w:div w:id="517736194">
      <w:bodyDiv w:val="1"/>
      <w:marLeft w:val="0"/>
      <w:marRight w:val="0"/>
      <w:marTop w:val="0"/>
      <w:marBottom w:val="0"/>
      <w:divBdr>
        <w:top w:val="none" w:sz="0" w:space="0" w:color="auto"/>
        <w:left w:val="none" w:sz="0" w:space="0" w:color="auto"/>
        <w:bottom w:val="none" w:sz="0" w:space="0" w:color="auto"/>
        <w:right w:val="none" w:sz="0" w:space="0" w:color="auto"/>
      </w:divBdr>
    </w:div>
    <w:div w:id="534076196">
      <w:bodyDiv w:val="1"/>
      <w:marLeft w:val="0"/>
      <w:marRight w:val="0"/>
      <w:marTop w:val="0"/>
      <w:marBottom w:val="0"/>
      <w:divBdr>
        <w:top w:val="none" w:sz="0" w:space="0" w:color="auto"/>
        <w:left w:val="none" w:sz="0" w:space="0" w:color="auto"/>
        <w:bottom w:val="none" w:sz="0" w:space="0" w:color="auto"/>
        <w:right w:val="none" w:sz="0" w:space="0" w:color="auto"/>
      </w:divBdr>
    </w:div>
    <w:div w:id="592202887">
      <w:bodyDiv w:val="1"/>
      <w:marLeft w:val="0"/>
      <w:marRight w:val="0"/>
      <w:marTop w:val="0"/>
      <w:marBottom w:val="0"/>
      <w:divBdr>
        <w:top w:val="none" w:sz="0" w:space="0" w:color="auto"/>
        <w:left w:val="none" w:sz="0" w:space="0" w:color="auto"/>
        <w:bottom w:val="none" w:sz="0" w:space="0" w:color="auto"/>
        <w:right w:val="none" w:sz="0" w:space="0" w:color="auto"/>
      </w:divBdr>
    </w:div>
    <w:div w:id="633097359">
      <w:bodyDiv w:val="1"/>
      <w:marLeft w:val="0"/>
      <w:marRight w:val="0"/>
      <w:marTop w:val="0"/>
      <w:marBottom w:val="0"/>
      <w:divBdr>
        <w:top w:val="none" w:sz="0" w:space="0" w:color="auto"/>
        <w:left w:val="none" w:sz="0" w:space="0" w:color="auto"/>
        <w:bottom w:val="none" w:sz="0" w:space="0" w:color="auto"/>
        <w:right w:val="none" w:sz="0" w:space="0" w:color="auto"/>
      </w:divBdr>
    </w:div>
    <w:div w:id="660160111">
      <w:bodyDiv w:val="1"/>
      <w:marLeft w:val="0"/>
      <w:marRight w:val="0"/>
      <w:marTop w:val="0"/>
      <w:marBottom w:val="0"/>
      <w:divBdr>
        <w:top w:val="none" w:sz="0" w:space="0" w:color="auto"/>
        <w:left w:val="none" w:sz="0" w:space="0" w:color="auto"/>
        <w:bottom w:val="none" w:sz="0" w:space="0" w:color="auto"/>
        <w:right w:val="none" w:sz="0" w:space="0" w:color="auto"/>
      </w:divBdr>
    </w:div>
    <w:div w:id="720709183">
      <w:bodyDiv w:val="1"/>
      <w:marLeft w:val="0"/>
      <w:marRight w:val="0"/>
      <w:marTop w:val="0"/>
      <w:marBottom w:val="0"/>
      <w:divBdr>
        <w:top w:val="none" w:sz="0" w:space="0" w:color="auto"/>
        <w:left w:val="none" w:sz="0" w:space="0" w:color="auto"/>
        <w:bottom w:val="none" w:sz="0" w:space="0" w:color="auto"/>
        <w:right w:val="none" w:sz="0" w:space="0" w:color="auto"/>
      </w:divBdr>
    </w:div>
    <w:div w:id="727873423">
      <w:bodyDiv w:val="1"/>
      <w:marLeft w:val="0"/>
      <w:marRight w:val="0"/>
      <w:marTop w:val="0"/>
      <w:marBottom w:val="0"/>
      <w:divBdr>
        <w:top w:val="none" w:sz="0" w:space="0" w:color="auto"/>
        <w:left w:val="none" w:sz="0" w:space="0" w:color="auto"/>
        <w:bottom w:val="none" w:sz="0" w:space="0" w:color="auto"/>
        <w:right w:val="none" w:sz="0" w:space="0" w:color="auto"/>
      </w:divBdr>
    </w:div>
    <w:div w:id="768090258">
      <w:bodyDiv w:val="1"/>
      <w:marLeft w:val="0"/>
      <w:marRight w:val="0"/>
      <w:marTop w:val="0"/>
      <w:marBottom w:val="0"/>
      <w:divBdr>
        <w:top w:val="none" w:sz="0" w:space="0" w:color="auto"/>
        <w:left w:val="none" w:sz="0" w:space="0" w:color="auto"/>
        <w:bottom w:val="none" w:sz="0" w:space="0" w:color="auto"/>
        <w:right w:val="none" w:sz="0" w:space="0" w:color="auto"/>
      </w:divBdr>
    </w:div>
    <w:div w:id="800461126">
      <w:bodyDiv w:val="1"/>
      <w:marLeft w:val="0"/>
      <w:marRight w:val="0"/>
      <w:marTop w:val="0"/>
      <w:marBottom w:val="0"/>
      <w:divBdr>
        <w:top w:val="none" w:sz="0" w:space="0" w:color="auto"/>
        <w:left w:val="none" w:sz="0" w:space="0" w:color="auto"/>
        <w:bottom w:val="none" w:sz="0" w:space="0" w:color="auto"/>
        <w:right w:val="none" w:sz="0" w:space="0" w:color="auto"/>
      </w:divBdr>
    </w:div>
    <w:div w:id="858196605">
      <w:bodyDiv w:val="1"/>
      <w:marLeft w:val="0"/>
      <w:marRight w:val="0"/>
      <w:marTop w:val="0"/>
      <w:marBottom w:val="0"/>
      <w:divBdr>
        <w:top w:val="none" w:sz="0" w:space="0" w:color="auto"/>
        <w:left w:val="none" w:sz="0" w:space="0" w:color="auto"/>
        <w:bottom w:val="none" w:sz="0" w:space="0" w:color="auto"/>
        <w:right w:val="none" w:sz="0" w:space="0" w:color="auto"/>
      </w:divBdr>
    </w:div>
    <w:div w:id="930049341">
      <w:bodyDiv w:val="1"/>
      <w:marLeft w:val="0"/>
      <w:marRight w:val="0"/>
      <w:marTop w:val="0"/>
      <w:marBottom w:val="0"/>
      <w:divBdr>
        <w:top w:val="none" w:sz="0" w:space="0" w:color="auto"/>
        <w:left w:val="none" w:sz="0" w:space="0" w:color="auto"/>
        <w:bottom w:val="none" w:sz="0" w:space="0" w:color="auto"/>
        <w:right w:val="none" w:sz="0" w:space="0" w:color="auto"/>
      </w:divBdr>
    </w:div>
    <w:div w:id="936668582">
      <w:bodyDiv w:val="1"/>
      <w:marLeft w:val="0"/>
      <w:marRight w:val="0"/>
      <w:marTop w:val="0"/>
      <w:marBottom w:val="0"/>
      <w:divBdr>
        <w:top w:val="none" w:sz="0" w:space="0" w:color="auto"/>
        <w:left w:val="none" w:sz="0" w:space="0" w:color="auto"/>
        <w:bottom w:val="none" w:sz="0" w:space="0" w:color="auto"/>
        <w:right w:val="none" w:sz="0" w:space="0" w:color="auto"/>
      </w:divBdr>
    </w:div>
    <w:div w:id="1223833664">
      <w:bodyDiv w:val="1"/>
      <w:marLeft w:val="0"/>
      <w:marRight w:val="0"/>
      <w:marTop w:val="0"/>
      <w:marBottom w:val="0"/>
      <w:divBdr>
        <w:top w:val="none" w:sz="0" w:space="0" w:color="auto"/>
        <w:left w:val="none" w:sz="0" w:space="0" w:color="auto"/>
        <w:bottom w:val="none" w:sz="0" w:space="0" w:color="auto"/>
        <w:right w:val="none" w:sz="0" w:space="0" w:color="auto"/>
      </w:divBdr>
    </w:div>
    <w:div w:id="1233193854">
      <w:bodyDiv w:val="1"/>
      <w:marLeft w:val="0"/>
      <w:marRight w:val="0"/>
      <w:marTop w:val="0"/>
      <w:marBottom w:val="0"/>
      <w:divBdr>
        <w:top w:val="none" w:sz="0" w:space="0" w:color="auto"/>
        <w:left w:val="none" w:sz="0" w:space="0" w:color="auto"/>
        <w:bottom w:val="none" w:sz="0" w:space="0" w:color="auto"/>
        <w:right w:val="none" w:sz="0" w:space="0" w:color="auto"/>
      </w:divBdr>
    </w:div>
    <w:div w:id="1238858491">
      <w:bodyDiv w:val="1"/>
      <w:marLeft w:val="0"/>
      <w:marRight w:val="0"/>
      <w:marTop w:val="0"/>
      <w:marBottom w:val="0"/>
      <w:divBdr>
        <w:top w:val="none" w:sz="0" w:space="0" w:color="auto"/>
        <w:left w:val="none" w:sz="0" w:space="0" w:color="auto"/>
        <w:bottom w:val="none" w:sz="0" w:space="0" w:color="auto"/>
        <w:right w:val="none" w:sz="0" w:space="0" w:color="auto"/>
      </w:divBdr>
    </w:div>
    <w:div w:id="1298410954">
      <w:bodyDiv w:val="1"/>
      <w:marLeft w:val="0"/>
      <w:marRight w:val="0"/>
      <w:marTop w:val="0"/>
      <w:marBottom w:val="0"/>
      <w:divBdr>
        <w:top w:val="none" w:sz="0" w:space="0" w:color="auto"/>
        <w:left w:val="none" w:sz="0" w:space="0" w:color="auto"/>
        <w:bottom w:val="none" w:sz="0" w:space="0" w:color="auto"/>
        <w:right w:val="none" w:sz="0" w:space="0" w:color="auto"/>
      </w:divBdr>
    </w:div>
    <w:div w:id="1304892569">
      <w:bodyDiv w:val="1"/>
      <w:marLeft w:val="0"/>
      <w:marRight w:val="0"/>
      <w:marTop w:val="0"/>
      <w:marBottom w:val="0"/>
      <w:divBdr>
        <w:top w:val="none" w:sz="0" w:space="0" w:color="auto"/>
        <w:left w:val="none" w:sz="0" w:space="0" w:color="auto"/>
        <w:bottom w:val="none" w:sz="0" w:space="0" w:color="auto"/>
        <w:right w:val="none" w:sz="0" w:space="0" w:color="auto"/>
      </w:divBdr>
    </w:div>
    <w:div w:id="1338659248">
      <w:bodyDiv w:val="1"/>
      <w:marLeft w:val="0"/>
      <w:marRight w:val="0"/>
      <w:marTop w:val="0"/>
      <w:marBottom w:val="0"/>
      <w:divBdr>
        <w:top w:val="none" w:sz="0" w:space="0" w:color="auto"/>
        <w:left w:val="none" w:sz="0" w:space="0" w:color="auto"/>
        <w:bottom w:val="none" w:sz="0" w:space="0" w:color="auto"/>
        <w:right w:val="none" w:sz="0" w:space="0" w:color="auto"/>
      </w:divBdr>
    </w:div>
    <w:div w:id="1350716756">
      <w:bodyDiv w:val="1"/>
      <w:marLeft w:val="0"/>
      <w:marRight w:val="0"/>
      <w:marTop w:val="0"/>
      <w:marBottom w:val="0"/>
      <w:divBdr>
        <w:top w:val="none" w:sz="0" w:space="0" w:color="auto"/>
        <w:left w:val="none" w:sz="0" w:space="0" w:color="auto"/>
        <w:bottom w:val="none" w:sz="0" w:space="0" w:color="auto"/>
        <w:right w:val="none" w:sz="0" w:space="0" w:color="auto"/>
      </w:divBdr>
    </w:div>
    <w:div w:id="1390885589">
      <w:bodyDiv w:val="1"/>
      <w:marLeft w:val="0"/>
      <w:marRight w:val="0"/>
      <w:marTop w:val="0"/>
      <w:marBottom w:val="0"/>
      <w:divBdr>
        <w:top w:val="none" w:sz="0" w:space="0" w:color="auto"/>
        <w:left w:val="none" w:sz="0" w:space="0" w:color="auto"/>
        <w:bottom w:val="none" w:sz="0" w:space="0" w:color="auto"/>
        <w:right w:val="none" w:sz="0" w:space="0" w:color="auto"/>
      </w:divBdr>
    </w:div>
    <w:div w:id="1412116289">
      <w:bodyDiv w:val="1"/>
      <w:marLeft w:val="0"/>
      <w:marRight w:val="0"/>
      <w:marTop w:val="0"/>
      <w:marBottom w:val="0"/>
      <w:divBdr>
        <w:top w:val="none" w:sz="0" w:space="0" w:color="auto"/>
        <w:left w:val="none" w:sz="0" w:space="0" w:color="auto"/>
        <w:bottom w:val="none" w:sz="0" w:space="0" w:color="auto"/>
        <w:right w:val="none" w:sz="0" w:space="0" w:color="auto"/>
      </w:divBdr>
    </w:div>
    <w:div w:id="1490560891">
      <w:bodyDiv w:val="1"/>
      <w:marLeft w:val="0"/>
      <w:marRight w:val="0"/>
      <w:marTop w:val="0"/>
      <w:marBottom w:val="0"/>
      <w:divBdr>
        <w:top w:val="none" w:sz="0" w:space="0" w:color="auto"/>
        <w:left w:val="none" w:sz="0" w:space="0" w:color="auto"/>
        <w:bottom w:val="none" w:sz="0" w:space="0" w:color="auto"/>
        <w:right w:val="none" w:sz="0" w:space="0" w:color="auto"/>
      </w:divBdr>
    </w:div>
    <w:div w:id="1504467954">
      <w:bodyDiv w:val="1"/>
      <w:marLeft w:val="0"/>
      <w:marRight w:val="0"/>
      <w:marTop w:val="0"/>
      <w:marBottom w:val="0"/>
      <w:divBdr>
        <w:top w:val="none" w:sz="0" w:space="0" w:color="auto"/>
        <w:left w:val="none" w:sz="0" w:space="0" w:color="auto"/>
        <w:bottom w:val="none" w:sz="0" w:space="0" w:color="auto"/>
        <w:right w:val="none" w:sz="0" w:space="0" w:color="auto"/>
      </w:divBdr>
    </w:div>
    <w:div w:id="1552575719">
      <w:bodyDiv w:val="1"/>
      <w:marLeft w:val="0"/>
      <w:marRight w:val="0"/>
      <w:marTop w:val="0"/>
      <w:marBottom w:val="0"/>
      <w:divBdr>
        <w:top w:val="none" w:sz="0" w:space="0" w:color="auto"/>
        <w:left w:val="none" w:sz="0" w:space="0" w:color="auto"/>
        <w:bottom w:val="none" w:sz="0" w:space="0" w:color="auto"/>
        <w:right w:val="none" w:sz="0" w:space="0" w:color="auto"/>
      </w:divBdr>
    </w:div>
    <w:div w:id="1552963427">
      <w:bodyDiv w:val="1"/>
      <w:marLeft w:val="0"/>
      <w:marRight w:val="0"/>
      <w:marTop w:val="0"/>
      <w:marBottom w:val="0"/>
      <w:divBdr>
        <w:top w:val="none" w:sz="0" w:space="0" w:color="auto"/>
        <w:left w:val="none" w:sz="0" w:space="0" w:color="auto"/>
        <w:bottom w:val="none" w:sz="0" w:space="0" w:color="auto"/>
        <w:right w:val="none" w:sz="0" w:space="0" w:color="auto"/>
      </w:divBdr>
    </w:div>
    <w:div w:id="1591305843">
      <w:bodyDiv w:val="1"/>
      <w:marLeft w:val="0"/>
      <w:marRight w:val="0"/>
      <w:marTop w:val="0"/>
      <w:marBottom w:val="0"/>
      <w:divBdr>
        <w:top w:val="none" w:sz="0" w:space="0" w:color="auto"/>
        <w:left w:val="none" w:sz="0" w:space="0" w:color="auto"/>
        <w:bottom w:val="none" w:sz="0" w:space="0" w:color="auto"/>
        <w:right w:val="none" w:sz="0" w:space="0" w:color="auto"/>
      </w:divBdr>
    </w:div>
    <w:div w:id="1599287941">
      <w:bodyDiv w:val="1"/>
      <w:marLeft w:val="0"/>
      <w:marRight w:val="0"/>
      <w:marTop w:val="0"/>
      <w:marBottom w:val="0"/>
      <w:divBdr>
        <w:top w:val="none" w:sz="0" w:space="0" w:color="auto"/>
        <w:left w:val="none" w:sz="0" w:space="0" w:color="auto"/>
        <w:bottom w:val="none" w:sz="0" w:space="0" w:color="auto"/>
        <w:right w:val="none" w:sz="0" w:space="0" w:color="auto"/>
      </w:divBdr>
    </w:div>
    <w:div w:id="1607079680">
      <w:bodyDiv w:val="1"/>
      <w:marLeft w:val="0"/>
      <w:marRight w:val="0"/>
      <w:marTop w:val="0"/>
      <w:marBottom w:val="0"/>
      <w:divBdr>
        <w:top w:val="none" w:sz="0" w:space="0" w:color="auto"/>
        <w:left w:val="none" w:sz="0" w:space="0" w:color="auto"/>
        <w:bottom w:val="none" w:sz="0" w:space="0" w:color="auto"/>
        <w:right w:val="none" w:sz="0" w:space="0" w:color="auto"/>
      </w:divBdr>
    </w:div>
    <w:div w:id="1768384477">
      <w:bodyDiv w:val="1"/>
      <w:marLeft w:val="0"/>
      <w:marRight w:val="0"/>
      <w:marTop w:val="0"/>
      <w:marBottom w:val="0"/>
      <w:divBdr>
        <w:top w:val="none" w:sz="0" w:space="0" w:color="auto"/>
        <w:left w:val="none" w:sz="0" w:space="0" w:color="auto"/>
        <w:bottom w:val="none" w:sz="0" w:space="0" w:color="auto"/>
        <w:right w:val="none" w:sz="0" w:space="0" w:color="auto"/>
      </w:divBdr>
    </w:div>
    <w:div w:id="1808891898">
      <w:bodyDiv w:val="1"/>
      <w:marLeft w:val="0"/>
      <w:marRight w:val="0"/>
      <w:marTop w:val="0"/>
      <w:marBottom w:val="0"/>
      <w:divBdr>
        <w:top w:val="none" w:sz="0" w:space="0" w:color="auto"/>
        <w:left w:val="none" w:sz="0" w:space="0" w:color="auto"/>
        <w:bottom w:val="none" w:sz="0" w:space="0" w:color="auto"/>
        <w:right w:val="none" w:sz="0" w:space="0" w:color="auto"/>
      </w:divBdr>
    </w:div>
    <w:div w:id="1818380348">
      <w:bodyDiv w:val="1"/>
      <w:marLeft w:val="0"/>
      <w:marRight w:val="0"/>
      <w:marTop w:val="0"/>
      <w:marBottom w:val="0"/>
      <w:divBdr>
        <w:top w:val="none" w:sz="0" w:space="0" w:color="auto"/>
        <w:left w:val="none" w:sz="0" w:space="0" w:color="auto"/>
        <w:bottom w:val="none" w:sz="0" w:space="0" w:color="auto"/>
        <w:right w:val="none" w:sz="0" w:space="0" w:color="auto"/>
      </w:divBdr>
    </w:div>
    <w:div w:id="1819876829">
      <w:bodyDiv w:val="1"/>
      <w:marLeft w:val="0"/>
      <w:marRight w:val="0"/>
      <w:marTop w:val="0"/>
      <w:marBottom w:val="0"/>
      <w:divBdr>
        <w:top w:val="none" w:sz="0" w:space="0" w:color="auto"/>
        <w:left w:val="none" w:sz="0" w:space="0" w:color="auto"/>
        <w:bottom w:val="none" w:sz="0" w:space="0" w:color="auto"/>
        <w:right w:val="none" w:sz="0" w:space="0" w:color="auto"/>
      </w:divBdr>
    </w:div>
    <w:div w:id="1847280961">
      <w:bodyDiv w:val="1"/>
      <w:marLeft w:val="0"/>
      <w:marRight w:val="0"/>
      <w:marTop w:val="0"/>
      <w:marBottom w:val="0"/>
      <w:divBdr>
        <w:top w:val="none" w:sz="0" w:space="0" w:color="auto"/>
        <w:left w:val="none" w:sz="0" w:space="0" w:color="auto"/>
        <w:bottom w:val="none" w:sz="0" w:space="0" w:color="auto"/>
        <w:right w:val="none" w:sz="0" w:space="0" w:color="auto"/>
      </w:divBdr>
    </w:div>
    <w:div w:id="1866015155">
      <w:bodyDiv w:val="1"/>
      <w:marLeft w:val="0"/>
      <w:marRight w:val="0"/>
      <w:marTop w:val="0"/>
      <w:marBottom w:val="0"/>
      <w:divBdr>
        <w:top w:val="none" w:sz="0" w:space="0" w:color="auto"/>
        <w:left w:val="none" w:sz="0" w:space="0" w:color="auto"/>
        <w:bottom w:val="none" w:sz="0" w:space="0" w:color="auto"/>
        <w:right w:val="none" w:sz="0" w:space="0" w:color="auto"/>
      </w:divBdr>
    </w:div>
    <w:div w:id="1953394457">
      <w:bodyDiv w:val="1"/>
      <w:marLeft w:val="0"/>
      <w:marRight w:val="0"/>
      <w:marTop w:val="0"/>
      <w:marBottom w:val="0"/>
      <w:divBdr>
        <w:top w:val="none" w:sz="0" w:space="0" w:color="auto"/>
        <w:left w:val="none" w:sz="0" w:space="0" w:color="auto"/>
        <w:bottom w:val="none" w:sz="0" w:space="0" w:color="auto"/>
        <w:right w:val="none" w:sz="0" w:space="0" w:color="auto"/>
      </w:divBdr>
    </w:div>
    <w:div w:id="1958179762">
      <w:bodyDiv w:val="1"/>
      <w:marLeft w:val="0"/>
      <w:marRight w:val="0"/>
      <w:marTop w:val="0"/>
      <w:marBottom w:val="0"/>
      <w:divBdr>
        <w:top w:val="none" w:sz="0" w:space="0" w:color="auto"/>
        <w:left w:val="none" w:sz="0" w:space="0" w:color="auto"/>
        <w:bottom w:val="none" w:sz="0" w:space="0" w:color="auto"/>
        <w:right w:val="none" w:sz="0" w:space="0" w:color="auto"/>
      </w:divBdr>
    </w:div>
    <w:div w:id="1969357246">
      <w:bodyDiv w:val="1"/>
      <w:marLeft w:val="0"/>
      <w:marRight w:val="0"/>
      <w:marTop w:val="0"/>
      <w:marBottom w:val="0"/>
      <w:divBdr>
        <w:top w:val="none" w:sz="0" w:space="0" w:color="auto"/>
        <w:left w:val="none" w:sz="0" w:space="0" w:color="auto"/>
        <w:bottom w:val="none" w:sz="0" w:space="0" w:color="auto"/>
        <w:right w:val="none" w:sz="0" w:space="0" w:color="auto"/>
      </w:divBdr>
    </w:div>
    <w:div w:id="2031908388">
      <w:bodyDiv w:val="1"/>
      <w:marLeft w:val="0"/>
      <w:marRight w:val="0"/>
      <w:marTop w:val="0"/>
      <w:marBottom w:val="0"/>
      <w:divBdr>
        <w:top w:val="none" w:sz="0" w:space="0" w:color="auto"/>
        <w:left w:val="none" w:sz="0" w:space="0" w:color="auto"/>
        <w:bottom w:val="none" w:sz="0" w:space="0" w:color="auto"/>
        <w:right w:val="none" w:sz="0" w:space="0" w:color="auto"/>
      </w:divBdr>
    </w:div>
    <w:div w:id="2141216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C495-5D79-4570-8599-A375DFBE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3256</Words>
  <Characters>18565</Characters>
  <Application>Microsoft Office Word</Application>
  <DocSecurity>0</DocSecurity>
  <Lines>154</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Aizputes N D</dc:creator>
  <cp:keywords/>
  <dc:description/>
  <cp:lastModifiedBy>Evija Farbotko</cp:lastModifiedBy>
  <cp:revision>3</cp:revision>
  <cp:lastPrinted>2025-02-10T07:30:00Z</cp:lastPrinted>
  <dcterms:created xsi:type="dcterms:W3CDTF">2026-02-10T07:19:00Z</dcterms:created>
  <dcterms:modified xsi:type="dcterms:W3CDTF">2026-02-12T10:14:00Z</dcterms:modified>
</cp:coreProperties>
</file>