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69FF43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F38BD">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65C58A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044AB">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E044AB">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F38BD">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605DA6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E044AB">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182177">
        <w:rPr>
          <w:rFonts w:ascii="Arial" w:eastAsia="Times New Roman" w:hAnsi="Arial" w:cs="Arial"/>
          <w:b/>
          <w:noProof/>
          <w:color w:val="000000"/>
          <w:sz w:val="24"/>
          <w:szCs w:val="24"/>
          <w:lang w:eastAsia="ru-RU"/>
        </w:rPr>
        <w:t>11.</w:t>
      </w:r>
      <w:r w:rsidR="006F38BD">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2B8746B" w:rsidR="00ED7721" w:rsidRPr="003E4DED" w:rsidRDefault="0048141C" w:rsidP="00ED7721">
      <w:pPr>
        <w:spacing w:after="0" w:line="240" w:lineRule="auto"/>
        <w:ind w:firstLine="720"/>
        <w:jc w:val="both"/>
        <w:rPr>
          <w:rFonts w:ascii="Arial" w:hAnsi="Arial" w:cs="Arial"/>
          <w:sz w:val="24"/>
          <w:szCs w:val="24"/>
        </w:rPr>
      </w:pPr>
      <w:bookmarkStart w:id="0" w:name="_Hlk232671627"/>
      <w:r w:rsidRPr="0048141C">
        <w:rPr>
          <w:rFonts w:ascii="Arial" w:eastAsia="Times New Roman" w:hAnsi="Arial" w:cs="Arial"/>
          <w:b/>
          <w:bCs/>
          <w:noProof/>
          <w:color w:val="000000"/>
          <w:sz w:val="24"/>
          <w:szCs w:val="24"/>
          <w:lang w:eastAsia="ru-RU"/>
        </w:rPr>
        <w:t>“Mežgaļi Nr.115”, Lažas pagasts</w:t>
      </w:r>
      <w:bookmarkEnd w:id="0"/>
      <w:r w:rsidRPr="0048141C">
        <w:rPr>
          <w:rFonts w:ascii="Arial" w:eastAsia="Times New Roman" w:hAnsi="Arial" w:cs="Arial"/>
          <w:b/>
          <w:bCs/>
          <w:noProof/>
          <w:color w:val="000000"/>
          <w:sz w:val="24"/>
          <w:szCs w:val="24"/>
          <w:lang w:eastAsia="ru-RU"/>
        </w:rPr>
        <w:t xml:space="preserve">, </w:t>
      </w:r>
      <w:r w:rsidRPr="0048141C">
        <w:rPr>
          <w:rFonts w:ascii="Arial" w:eastAsia="Times New Roman" w:hAnsi="Arial" w:cs="Arial"/>
          <w:noProof/>
          <w:color w:val="000000"/>
          <w:sz w:val="24"/>
          <w:szCs w:val="24"/>
          <w:lang w:eastAsia="ru-RU"/>
        </w:rPr>
        <w:t>Dienvidkurzemes novads, kadastra Nr.64720070230, reģistrēts Kurzemes rajona tiesas Lažas pagasta zemesgrāmatas nodalījumā Nr.100000953543</w:t>
      </w:r>
      <w:r w:rsidR="00ED7721" w:rsidRPr="00552F0D">
        <w:rPr>
          <w:rFonts w:ascii="Arial" w:hAnsi="Arial" w:cs="Arial"/>
          <w:sz w:val="24"/>
          <w:szCs w:val="24"/>
        </w:rPr>
        <w:t>.</w:t>
      </w:r>
    </w:p>
    <w:p w14:paraId="01BF52CE"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Īpašums sastāv no vienas zemes vienības ar kadastra apzīmējumu 64720070230 0,084 ha kopplatībā.</w:t>
      </w:r>
    </w:p>
    <w:p w14:paraId="23D84D2E"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 xml:space="preserve">Nekustamā īpašuma valsts kadastra informācijas sistēmā zemes vienībai norādīta sekojoša eksplikācija: 0,084 ha lauksaimniecībā izmantojamā zeme. Zemes vienība nav apbūvēta. </w:t>
      </w:r>
    </w:p>
    <w:p w14:paraId="3C1594DC"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Zemes vienība neatrodas valsts nozīmes/reģiona nozīmes kultūras pieminekļa un dabas lieguma teritorijās.</w:t>
      </w:r>
    </w:p>
    <w:p w14:paraId="22FCA0C7"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Par zemes vienību nav noslēgts medību tiesību līgums.</w:t>
      </w:r>
    </w:p>
    <w:p w14:paraId="50B0B880"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Zemes vienībā noslēgts 1 spēkā esošs zemes nomas līgums ar termiņu līdz 2031.gada 30.septembrim. Saņemts nomnieka iesniegums par īpašuma atsavināšanu.</w:t>
      </w:r>
    </w:p>
    <w:p w14:paraId="26A2E7E9" w14:textId="77777777" w:rsidR="006F38BD" w:rsidRPr="006F38BD" w:rsidRDefault="006F38BD" w:rsidP="006F38BD">
      <w:pPr>
        <w:spacing w:after="0" w:line="240" w:lineRule="auto"/>
        <w:ind w:firstLine="720"/>
        <w:jc w:val="both"/>
        <w:rPr>
          <w:rFonts w:ascii="Arial" w:eastAsia="Calibri" w:hAnsi="Arial" w:cs="Arial"/>
          <w:sz w:val="24"/>
          <w:szCs w:val="24"/>
        </w:rPr>
      </w:pPr>
      <w:r w:rsidRPr="006F38BD">
        <w:rPr>
          <w:rFonts w:ascii="Arial" w:eastAsia="Calibri" w:hAnsi="Arial" w:cs="Arial"/>
          <w:sz w:val="24"/>
          <w:szCs w:val="24"/>
        </w:rPr>
        <w:t>Saskaņā ar Aizputes novada teritorijas plānojumu 2013. – 2025.gadam zemes vienība atrodas lauku teritorijā.</w:t>
      </w:r>
    </w:p>
    <w:p w14:paraId="1B8D0645" w14:textId="52A78E37" w:rsidR="008B5FD4" w:rsidRPr="00C1160A" w:rsidRDefault="006F38BD" w:rsidP="006F38BD">
      <w:pPr>
        <w:spacing w:after="0" w:line="240" w:lineRule="auto"/>
        <w:ind w:firstLine="720"/>
        <w:jc w:val="both"/>
        <w:rPr>
          <w:rFonts w:ascii="Arial" w:hAnsi="Arial" w:cs="Arial"/>
          <w:sz w:val="24"/>
          <w:szCs w:val="24"/>
        </w:rPr>
      </w:pPr>
      <w:r w:rsidRPr="006F38BD">
        <w:rPr>
          <w:rFonts w:ascii="Arial" w:eastAsia="Calibri" w:hAnsi="Arial" w:cs="Arial"/>
          <w:sz w:val="24"/>
          <w:szCs w:val="24"/>
        </w:rPr>
        <w:t>Saskaņā ar Dienvidkurzemes novada Būvvaldes 2026.gada 26.februāra izsniegto izziņu Nr.B/2026/1.7/11 “Par zemes vienības plānoto (atļauto) teritorijas izmantošanu” galvenais izmantošanas veids ir individuālo dzīvojamo māju apbūve, kods 0601 (0101)</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9030DD7"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F38BD">
        <w:rPr>
          <w:rFonts w:ascii="Arial" w:eastAsia="Times New Roman" w:hAnsi="Arial" w:cs="Arial"/>
          <w:b/>
          <w:bCs/>
          <w:noProof/>
          <w:color w:val="000000"/>
          <w:sz w:val="24"/>
          <w:szCs w:val="24"/>
          <w:lang w:eastAsia="ru-RU"/>
        </w:rPr>
        <w:t>2000</w:t>
      </w:r>
      <w:r w:rsidR="006F38BD" w:rsidRPr="003E4DED">
        <w:rPr>
          <w:rFonts w:ascii="Arial" w:eastAsia="Times New Roman" w:hAnsi="Arial" w:cs="Arial"/>
          <w:b/>
          <w:bCs/>
          <w:noProof/>
          <w:color w:val="000000"/>
          <w:sz w:val="24"/>
          <w:szCs w:val="24"/>
          <w:lang w:eastAsia="ru-RU"/>
        </w:rPr>
        <w:t xml:space="preserve"> EUR </w:t>
      </w:r>
      <w:r w:rsidR="006F38BD" w:rsidRPr="003E4DED">
        <w:rPr>
          <w:rFonts w:ascii="Arial" w:eastAsia="Times New Roman" w:hAnsi="Arial" w:cs="Arial"/>
          <w:noProof/>
          <w:color w:val="000000"/>
          <w:sz w:val="24"/>
          <w:szCs w:val="24"/>
          <w:lang w:eastAsia="ru-RU"/>
        </w:rPr>
        <w:t>(</w:t>
      </w:r>
      <w:r w:rsidR="006F38BD">
        <w:rPr>
          <w:rFonts w:ascii="Arial" w:eastAsia="Times New Roman" w:hAnsi="Arial" w:cs="Arial"/>
          <w:noProof/>
          <w:color w:val="000000"/>
          <w:sz w:val="24"/>
          <w:szCs w:val="24"/>
          <w:lang w:eastAsia="ru-RU"/>
        </w:rPr>
        <w:t>divi tūkstoši</w:t>
      </w:r>
      <w:r w:rsidR="006F38BD" w:rsidRPr="003E4DED">
        <w:rPr>
          <w:rFonts w:ascii="Arial" w:eastAsia="Times New Roman" w:hAnsi="Arial" w:cs="Arial"/>
          <w:noProof/>
          <w:color w:val="000000"/>
          <w:sz w:val="24"/>
          <w:szCs w:val="24"/>
          <w:lang w:eastAsia="ru-RU"/>
        </w:rPr>
        <w:t xml:space="preserve"> </w:t>
      </w:r>
      <w:r w:rsidR="006F38BD" w:rsidRPr="003E4DED">
        <w:rPr>
          <w:rFonts w:ascii="Arial" w:eastAsia="Times New Roman" w:hAnsi="Arial" w:cs="Arial"/>
          <w:i/>
          <w:iCs/>
          <w:noProof/>
          <w:color w:val="000000"/>
          <w:sz w:val="24"/>
          <w:szCs w:val="24"/>
          <w:lang w:eastAsia="ru-RU"/>
        </w:rPr>
        <w:t>euro</w:t>
      </w:r>
      <w:r w:rsidR="006F38BD" w:rsidRPr="003E4DED">
        <w:rPr>
          <w:rFonts w:ascii="Arial" w:eastAsia="Times New Roman" w:hAnsi="Arial" w:cs="Arial"/>
          <w:noProof/>
          <w:color w:val="000000"/>
          <w:sz w:val="24"/>
          <w:szCs w:val="24"/>
          <w:lang w:eastAsia="ru-RU"/>
        </w:rPr>
        <w:t>)</w:t>
      </w:r>
    </w:p>
    <w:p w14:paraId="1FD55E59" w14:textId="45C67781"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E044AB" w:rsidRPr="005B12EF">
        <w:rPr>
          <w:rFonts w:ascii="Arial" w:eastAsia="Times New Roman" w:hAnsi="Arial" w:cs="Arial"/>
          <w:b/>
          <w:bCs/>
          <w:iCs/>
          <w:noProof/>
          <w:color w:val="000000"/>
          <w:sz w:val="24"/>
          <w:szCs w:val="24"/>
          <w:lang w:eastAsia="ru-RU"/>
        </w:rPr>
        <w:t xml:space="preserve">100 EUR </w:t>
      </w:r>
      <w:r w:rsidR="00E044AB" w:rsidRPr="005B12EF">
        <w:rPr>
          <w:rFonts w:ascii="Arial" w:eastAsia="Times New Roman" w:hAnsi="Arial" w:cs="Arial"/>
          <w:iCs/>
          <w:noProof/>
          <w:color w:val="000000"/>
          <w:sz w:val="24"/>
          <w:szCs w:val="24"/>
          <w:lang w:eastAsia="ru-RU"/>
        </w:rPr>
        <w:t xml:space="preserve">(viens simts </w:t>
      </w:r>
      <w:r w:rsidR="00E044AB" w:rsidRPr="005B12EF">
        <w:rPr>
          <w:rFonts w:ascii="Arial" w:eastAsia="Times New Roman" w:hAnsi="Arial" w:cs="Arial"/>
          <w:i/>
          <w:iCs/>
          <w:noProof/>
          <w:color w:val="000000"/>
          <w:sz w:val="24"/>
          <w:szCs w:val="24"/>
          <w:lang w:eastAsia="ru-RU"/>
        </w:rPr>
        <w:t>euro</w:t>
      </w:r>
      <w:r w:rsidR="00E044AB" w:rsidRPr="005B12EF">
        <w:rPr>
          <w:rFonts w:ascii="Arial" w:eastAsia="Times New Roman" w:hAnsi="Arial" w:cs="Arial"/>
          <w:iCs/>
          <w:noProof/>
          <w:color w:val="000000"/>
          <w:sz w:val="24"/>
          <w:szCs w:val="24"/>
          <w:lang w:eastAsia="ru-RU"/>
        </w:rPr>
        <w:t>)</w:t>
      </w:r>
    </w:p>
    <w:p w14:paraId="28700263" w14:textId="42D66B78"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F38BD">
        <w:rPr>
          <w:rFonts w:ascii="Arial" w:eastAsia="Times New Roman" w:hAnsi="Arial" w:cs="Arial"/>
          <w:b/>
          <w:bCs/>
          <w:noProof/>
          <w:sz w:val="24"/>
          <w:szCs w:val="24"/>
          <w:lang w:eastAsia="ru-RU"/>
        </w:rPr>
        <w:t>200</w:t>
      </w:r>
      <w:r w:rsidR="006F38BD" w:rsidRPr="00263CDC">
        <w:rPr>
          <w:rFonts w:ascii="Arial" w:eastAsia="Times New Roman" w:hAnsi="Arial" w:cs="Arial"/>
          <w:b/>
          <w:bCs/>
          <w:noProof/>
          <w:sz w:val="24"/>
          <w:szCs w:val="24"/>
          <w:lang w:eastAsia="ru-RU"/>
        </w:rPr>
        <w:t xml:space="preserve"> EUR</w:t>
      </w:r>
      <w:r w:rsidR="006F38BD" w:rsidRPr="003E4DED">
        <w:rPr>
          <w:rFonts w:ascii="Arial" w:eastAsia="Times New Roman" w:hAnsi="Arial" w:cs="Arial"/>
          <w:noProof/>
          <w:sz w:val="24"/>
          <w:szCs w:val="24"/>
          <w:lang w:eastAsia="ru-RU"/>
        </w:rPr>
        <w:t xml:space="preserve"> (</w:t>
      </w:r>
      <w:r w:rsidR="006F38BD">
        <w:rPr>
          <w:rFonts w:ascii="Arial" w:eastAsia="Times New Roman" w:hAnsi="Arial" w:cs="Arial"/>
          <w:noProof/>
          <w:sz w:val="24"/>
          <w:szCs w:val="24"/>
          <w:lang w:eastAsia="ru-RU"/>
        </w:rPr>
        <w:t>divi simti</w:t>
      </w:r>
      <w:r w:rsidR="006F38BD" w:rsidRPr="003E4DED">
        <w:rPr>
          <w:rFonts w:ascii="Arial" w:eastAsia="Times New Roman" w:hAnsi="Arial" w:cs="Arial"/>
          <w:noProof/>
          <w:sz w:val="24"/>
          <w:szCs w:val="24"/>
          <w:lang w:eastAsia="ru-RU"/>
        </w:rPr>
        <w:t xml:space="preserve"> </w:t>
      </w:r>
      <w:r w:rsidR="006F38BD" w:rsidRPr="003936C9">
        <w:rPr>
          <w:rFonts w:ascii="Arial" w:eastAsia="Times New Roman" w:hAnsi="Arial" w:cs="Arial"/>
          <w:i/>
          <w:iCs/>
          <w:noProof/>
          <w:sz w:val="24"/>
          <w:szCs w:val="24"/>
          <w:lang w:eastAsia="ru-RU"/>
        </w:rPr>
        <w:t>euro</w:t>
      </w:r>
      <w:r w:rsidR="006F38B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5435B5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F38BD" w:rsidRPr="006F38BD">
        <w:rPr>
          <w:rFonts w:ascii="Arial" w:eastAsia="Times New Roman" w:hAnsi="Arial" w:cs="Arial"/>
          <w:noProof/>
          <w:color w:val="000000"/>
          <w:sz w:val="24"/>
          <w:szCs w:val="24"/>
          <w:lang w:eastAsia="ru-RU"/>
        </w:rPr>
        <w:t>“Mežgaļi Nr.115”,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22F8DE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E044AB">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AEBA16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82177" w:rsidRPr="00182177">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82177">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1B8F22BE" w:rsidR="00743E97" w:rsidRDefault="006F38BD" w:rsidP="00B954EC">
      <w:pPr>
        <w:spacing w:after="0" w:line="240" w:lineRule="auto"/>
        <w:rPr>
          <w:noProof/>
        </w:rPr>
      </w:pPr>
      <w:r>
        <w:rPr>
          <w:noProof/>
        </w:rPr>
        <w:lastRenderedPageBreak/>
        <w:drawing>
          <wp:inline distT="0" distB="0" distL="0" distR="0" wp14:anchorId="5D348FCA" wp14:editId="21F4C5FC">
            <wp:extent cx="5274310" cy="3646170"/>
            <wp:effectExtent l="0" t="0" r="2540" b="0"/>
            <wp:docPr id="19763935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93597" name=""/>
                    <pic:cNvPicPr/>
                  </pic:nvPicPr>
                  <pic:blipFill>
                    <a:blip r:embed="rId9"/>
                    <a:stretch>
                      <a:fillRect/>
                    </a:stretch>
                  </pic:blipFill>
                  <pic:spPr>
                    <a:xfrm>
                      <a:off x="0" y="0"/>
                      <a:ext cx="5274310" cy="3646170"/>
                    </a:xfrm>
                    <a:prstGeom prst="rect">
                      <a:avLst/>
                    </a:prstGeom>
                  </pic:spPr>
                </pic:pic>
              </a:graphicData>
            </a:graphic>
          </wp:inline>
        </w:drawing>
      </w:r>
    </w:p>
    <w:p w14:paraId="539880C2" w14:textId="77777777" w:rsidR="006F38BD" w:rsidRDefault="006F38BD" w:rsidP="00B954EC">
      <w:pPr>
        <w:spacing w:after="0" w:line="240" w:lineRule="auto"/>
        <w:rPr>
          <w:noProof/>
        </w:rPr>
      </w:pPr>
    </w:p>
    <w:p w14:paraId="68DD888E" w14:textId="77777777" w:rsidR="006F38BD" w:rsidRDefault="006F38BD" w:rsidP="00B954EC">
      <w:pPr>
        <w:spacing w:after="0" w:line="240" w:lineRule="auto"/>
        <w:rPr>
          <w:noProof/>
        </w:rPr>
      </w:pPr>
    </w:p>
    <w:p w14:paraId="63A9C1CB" w14:textId="77777777" w:rsidR="006F38BD" w:rsidRDefault="006F38BD" w:rsidP="00B954EC">
      <w:pPr>
        <w:spacing w:after="0" w:line="240" w:lineRule="auto"/>
        <w:rPr>
          <w:noProof/>
        </w:rPr>
      </w:pPr>
    </w:p>
    <w:p w14:paraId="7A857326" w14:textId="77777777" w:rsidR="006F38BD" w:rsidRDefault="006F38BD" w:rsidP="00B954EC">
      <w:pPr>
        <w:spacing w:after="0" w:line="240" w:lineRule="auto"/>
        <w:rPr>
          <w:noProof/>
        </w:rPr>
      </w:pPr>
    </w:p>
    <w:p w14:paraId="3E147D6A" w14:textId="77777777" w:rsidR="006F38BD" w:rsidRDefault="006F38BD" w:rsidP="00B954EC">
      <w:pPr>
        <w:spacing w:after="0" w:line="240" w:lineRule="auto"/>
        <w:rPr>
          <w:noProof/>
        </w:rPr>
      </w:pPr>
    </w:p>
    <w:p w14:paraId="5A501350" w14:textId="77777777" w:rsidR="006F38BD" w:rsidRDefault="006F38BD" w:rsidP="00B954EC">
      <w:pPr>
        <w:spacing w:after="0" w:line="240" w:lineRule="auto"/>
        <w:rPr>
          <w:noProof/>
        </w:rPr>
      </w:pPr>
    </w:p>
    <w:p w14:paraId="58604742" w14:textId="77777777" w:rsidR="006F38BD" w:rsidRDefault="006F38BD" w:rsidP="00B954EC">
      <w:pPr>
        <w:spacing w:after="0" w:line="240" w:lineRule="auto"/>
        <w:rPr>
          <w:noProof/>
        </w:rPr>
      </w:pPr>
    </w:p>
    <w:p w14:paraId="46E96448" w14:textId="77777777" w:rsidR="006F38BD" w:rsidRDefault="006F38BD" w:rsidP="00B954EC">
      <w:pPr>
        <w:spacing w:after="0" w:line="240" w:lineRule="auto"/>
        <w:rPr>
          <w:noProof/>
        </w:rPr>
      </w:pPr>
    </w:p>
    <w:p w14:paraId="0EF778CA" w14:textId="77777777" w:rsidR="006F38BD" w:rsidRDefault="006F38BD" w:rsidP="00B954EC">
      <w:pPr>
        <w:spacing w:after="0" w:line="240" w:lineRule="auto"/>
        <w:rPr>
          <w:noProof/>
        </w:rPr>
      </w:pPr>
    </w:p>
    <w:p w14:paraId="5978EE53" w14:textId="77777777" w:rsidR="006F38BD" w:rsidRDefault="006F38BD" w:rsidP="00B954EC">
      <w:pPr>
        <w:spacing w:after="0" w:line="240" w:lineRule="auto"/>
        <w:rPr>
          <w:noProof/>
        </w:rPr>
      </w:pPr>
    </w:p>
    <w:p w14:paraId="4F84F210" w14:textId="77777777" w:rsidR="006F38BD" w:rsidRDefault="006F38BD" w:rsidP="00B954EC">
      <w:pPr>
        <w:spacing w:after="0" w:line="240" w:lineRule="auto"/>
        <w:rPr>
          <w:noProof/>
        </w:rPr>
      </w:pPr>
    </w:p>
    <w:p w14:paraId="58D6292A" w14:textId="77777777" w:rsidR="006F38BD" w:rsidRDefault="006F38BD" w:rsidP="00B954EC">
      <w:pPr>
        <w:spacing w:after="0" w:line="240" w:lineRule="auto"/>
        <w:rPr>
          <w:noProof/>
        </w:rPr>
      </w:pPr>
    </w:p>
    <w:p w14:paraId="3D41637E" w14:textId="77777777" w:rsidR="006F38BD" w:rsidRDefault="006F38BD" w:rsidP="00B954EC">
      <w:pPr>
        <w:spacing w:after="0" w:line="240" w:lineRule="auto"/>
        <w:rPr>
          <w:noProof/>
        </w:rPr>
      </w:pPr>
    </w:p>
    <w:p w14:paraId="68A6EE03" w14:textId="77777777" w:rsidR="006F38BD" w:rsidRDefault="006F38BD" w:rsidP="00B954EC">
      <w:pPr>
        <w:spacing w:after="0" w:line="240" w:lineRule="auto"/>
        <w:rPr>
          <w:noProof/>
        </w:rPr>
      </w:pPr>
    </w:p>
    <w:p w14:paraId="67AE811B" w14:textId="77777777" w:rsidR="006F38BD" w:rsidRDefault="006F38BD" w:rsidP="00B954EC">
      <w:pPr>
        <w:spacing w:after="0" w:line="240" w:lineRule="auto"/>
        <w:rPr>
          <w:noProof/>
        </w:rPr>
      </w:pPr>
    </w:p>
    <w:p w14:paraId="73F66D61" w14:textId="77777777" w:rsidR="006F38BD" w:rsidRDefault="006F38BD" w:rsidP="00B954EC">
      <w:pPr>
        <w:spacing w:after="0" w:line="240" w:lineRule="auto"/>
        <w:rPr>
          <w:noProof/>
        </w:rPr>
      </w:pPr>
    </w:p>
    <w:p w14:paraId="58635B0E" w14:textId="77777777" w:rsidR="006F38BD" w:rsidRDefault="006F38BD" w:rsidP="00B954EC">
      <w:pPr>
        <w:spacing w:after="0" w:line="240" w:lineRule="auto"/>
        <w:rPr>
          <w:noProof/>
        </w:rPr>
      </w:pPr>
    </w:p>
    <w:p w14:paraId="4EF1F94B" w14:textId="77777777" w:rsidR="006F38BD" w:rsidRDefault="006F38BD" w:rsidP="00B954EC">
      <w:pPr>
        <w:spacing w:after="0" w:line="240" w:lineRule="auto"/>
        <w:rPr>
          <w:noProof/>
        </w:rPr>
      </w:pPr>
    </w:p>
    <w:p w14:paraId="6D0F050B" w14:textId="77777777" w:rsidR="006F38BD" w:rsidRDefault="006F38BD" w:rsidP="00B954EC">
      <w:pPr>
        <w:spacing w:after="0" w:line="240" w:lineRule="auto"/>
        <w:rPr>
          <w:noProof/>
        </w:rPr>
      </w:pPr>
    </w:p>
    <w:p w14:paraId="0B509644" w14:textId="77777777" w:rsidR="006F38BD" w:rsidRDefault="006F38BD" w:rsidP="00B954EC">
      <w:pPr>
        <w:spacing w:after="0" w:line="240" w:lineRule="auto"/>
        <w:rPr>
          <w:noProof/>
        </w:rPr>
      </w:pPr>
    </w:p>
    <w:p w14:paraId="22A5175E" w14:textId="77777777" w:rsidR="006F38BD" w:rsidRDefault="006F38BD" w:rsidP="00B954EC">
      <w:pPr>
        <w:spacing w:after="0" w:line="240" w:lineRule="auto"/>
        <w:rPr>
          <w:noProof/>
        </w:rPr>
      </w:pPr>
    </w:p>
    <w:p w14:paraId="30D92B8D" w14:textId="77777777" w:rsidR="006F38BD" w:rsidRDefault="006F38BD" w:rsidP="00B954EC">
      <w:pPr>
        <w:spacing w:after="0" w:line="240" w:lineRule="auto"/>
        <w:rPr>
          <w:noProof/>
        </w:rPr>
      </w:pPr>
    </w:p>
    <w:p w14:paraId="438F84A5" w14:textId="77777777" w:rsidR="006F38BD" w:rsidRDefault="006F38BD" w:rsidP="00B954EC">
      <w:pPr>
        <w:spacing w:after="0" w:line="240" w:lineRule="auto"/>
        <w:rPr>
          <w:noProof/>
        </w:rPr>
      </w:pPr>
    </w:p>
    <w:p w14:paraId="052AF356" w14:textId="77777777" w:rsidR="006F38BD" w:rsidRDefault="006F38BD" w:rsidP="00B954EC">
      <w:pPr>
        <w:spacing w:after="0" w:line="240" w:lineRule="auto"/>
        <w:rPr>
          <w:noProof/>
        </w:rPr>
      </w:pPr>
    </w:p>
    <w:p w14:paraId="50593335" w14:textId="77777777" w:rsidR="006F38BD" w:rsidRDefault="006F38BD" w:rsidP="00B954EC">
      <w:pPr>
        <w:spacing w:after="0" w:line="240" w:lineRule="auto"/>
        <w:rPr>
          <w:noProof/>
        </w:rPr>
      </w:pPr>
    </w:p>
    <w:p w14:paraId="03CC8747" w14:textId="77777777" w:rsidR="006F38BD" w:rsidRDefault="006F38BD" w:rsidP="00B954EC">
      <w:pPr>
        <w:spacing w:after="0" w:line="240" w:lineRule="auto"/>
        <w:rPr>
          <w:noProof/>
        </w:rPr>
      </w:pPr>
    </w:p>
    <w:p w14:paraId="1BD9D878" w14:textId="77777777" w:rsidR="006F38BD" w:rsidRDefault="006F38BD" w:rsidP="00B954EC">
      <w:pPr>
        <w:spacing w:after="0" w:line="240" w:lineRule="auto"/>
        <w:rPr>
          <w:noProof/>
        </w:rPr>
      </w:pPr>
    </w:p>
    <w:p w14:paraId="5DE56CE2" w14:textId="77777777" w:rsidR="006F38BD" w:rsidRDefault="006F38BD" w:rsidP="00B954EC">
      <w:pPr>
        <w:spacing w:after="0" w:line="240" w:lineRule="auto"/>
        <w:rPr>
          <w:noProof/>
        </w:rPr>
      </w:pPr>
    </w:p>
    <w:p w14:paraId="1881B29B" w14:textId="77777777" w:rsidR="006F38BD" w:rsidRDefault="006F38BD" w:rsidP="00B954EC">
      <w:pPr>
        <w:spacing w:after="0" w:line="240" w:lineRule="auto"/>
        <w:rPr>
          <w:noProof/>
        </w:rPr>
      </w:pPr>
    </w:p>
    <w:p w14:paraId="18880CFD" w14:textId="77777777" w:rsidR="006F38BD" w:rsidRDefault="006F38B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4D876A3" w:rsidR="004F04D0" w:rsidRPr="004F04D0" w:rsidRDefault="006F38BD" w:rsidP="004F04D0">
      <w:pPr>
        <w:spacing w:after="0" w:line="240" w:lineRule="auto"/>
        <w:jc w:val="right"/>
        <w:rPr>
          <w:rFonts w:ascii="Arial" w:eastAsia="Times New Roman" w:hAnsi="Arial" w:cs="Arial"/>
          <w:sz w:val="24"/>
          <w:szCs w:val="24"/>
          <w:lang w:eastAsia="lv-LV"/>
        </w:rPr>
      </w:pPr>
      <w:r w:rsidRPr="006F38BD">
        <w:rPr>
          <w:rFonts w:ascii="Arial" w:eastAsia="Times New Roman" w:hAnsi="Arial" w:cs="Arial"/>
          <w:noProof/>
          <w:color w:val="000000"/>
          <w:sz w:val="24"/>
          <w:szCs w:val="24"/>
          <w:lang w:eastAsia="ru-RU"/>
        </w:rPr>
        <w:t>“Mežgaļi Nr.115”, Lažas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1990" w14:textId="77777777" w:rsidR="00AC68BD" w:rsidRDefault="00AC68BD" w:rsidP="00125179">
      <w:pPr>
        <w:spacing w:after="0" w:line="240" w:lineRule="auto"/>
      </w:pPr>
      <w:r>
        <w:separator/>
      </w:r>
    </w:p>
  </w:endnote>
  <w:endnote w:type="continuationSeparator" w:id="0">
    <w:p w14:paraId="143CBB27" w14:textId="77777777" w:rsidR="00AC68BD" w:rsidRDefault="00AC68B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2FA6" w14:textId="77777777" w:rsidR="00AC68BD" w:rsidRDefault="00AC68BD" w:rsidP="00125179">
      <w:pPr>
        <w:spacing w:after="0" w:line="240" w:lineRule="auto"/>
      </w:pPr>
      <w:r>
        <w:separator/>
      </w:r>
    </w:p>
  </w:footnote>
  <w:footnote w:type="continuationSeparator" w:id="0">
    <w:p w14:paraId="2647B619" w14:textId="77777777" w:rsidR="00AC68BD" w:rsidRDefault="00AC68B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2C5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177"/>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141C"/>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C7DE8"/>
    <w:rsid w:val="006D4634"/>
    <w:rsid w:val="006D55D7"/>
    <w:rsid w:val="006D624C"/>
    <w:rsid w:val="006D7B04"/>
    <w:rsid w:val="006E2029"/>
    <w:rsid w:val="006F38BD"/>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C5D1E"/>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2260"/>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C68BD"/>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547B"/>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106B"/>
    <w:rsid w:val="00DC21F0"/>
    <w:rsid w:val="00DC3799"/>
    <w:rsid w:val="00DC52B6"/>
    <w:rsid w:val="00DD1653"/>
    <w:rsid w:val="00DD254A"/>
    <w:rsid w:val="00DD43D3"/>
    <w:rsid w:val="00DD7E3B"/>
    <w:rsid w:val="00DE3527"/>
    <w:rsid w:val="00DF4172"/>
    <w:rsid w:val="00DF54EB"/>
    <w:rsid w:val="00DF5AD1"/>
    <w:rsid w:val="00DF6039"/>
    <w:rsid w:val="00DF685D"/>
    <w:rsid w:val="00E044AB"/>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9657</Words>
  <Characters>5506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2026-06-18T07:38:00Z</dcterms:created>
  <dcterms:modified xsi:type="dcterms:W3CDTF">2026-06-26T08:05:00Z</dcterms:modified>
</cp:coreProperties>
</file>